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55FB" w14:textId="77777777" w:rsidR="00D71580" w:rsidRPr="004A3308" w:rsidRDefault="00D71580" w:rsidP="00D71580">
      <w:pPr>
        <w:tabs>
          <w:tab w:val="left" w:pos="0"/>
        </w:tabs>
        <w:spacing w:line="360" w:lineRule="auto"/>
        <w:jc w:val="center"/>
        <w:rPr>
          <w:rFonts w:ascii="Arial" w:hAnsi="Arial" w:cs="Arial"/>
          <w:b/>
        </w:rPr>
      </w:pPr>
      <w:r w:rsidRPr="004A3308">
        <w:rPr>
          <w:rFonts w:ascii="Arial" w:hAnsi="Arial" w:cs="Arial"/>
          <w:b/>
        </w:rPr>
        <w:t>POLÍTICA DE RATEIO E DIVISÃO DE ORDENS ENTRE CARTEIRAS DE VALORES MOBILIÁRIOS</w:t>
      </w:r>
    </w:p>
    <w:p w14:paraId="4ADD6B21" w14:textId="77777777" w:rsidR="00D71580" w:rsidRPr="004A3308" w:rsidRDefault="00D71580" w:rsidP="00D71580">
      <w:pPr>
        <w:tabs>
          <w:tab w:val="left" w:pos="0"/>
        </w:tabs>
        <w:adjustRightInd w:val="0"/>
        <w:spacing w:line="360" w:lineRule="auto"/>
        <w:rPr>
          <w:rFonts w:ascii="Arial" w:hAnsi="Arial" w:cs="Arial"/>
        </w:rPr>
      </w:pPr>
    </w:p>
    <w:p w14:paraId="2B63BA57" w14:textId="74862534" w:rsidR="00D71580" w:rsidRPr="004A3308" w:rsidRDefault="00D71580" w:rsidP="00D71580">
      <w:pPr>
        <w:widowControl/>
        <w:numPr>
          <w:ilvl w:val="0"/>
          <w:numId w:val="10"/>
        </w:numPr>
        <w:tabs>
          <w:tab w:val="left" w:pos="0"/>
        </w:tabs>
        <w:adjustRightInd w:val="0"/>
        <w:spacing w:line="360" w:lineRule="auto"/>
        <w:ind w:left="10" w:hanging="10"/>
        <w:jc w:val="both"/>
        <w:rPr>
          <w:rFonts w:ascii="Arial" w:hAnsi="Arial" w:cs="Arial"/>
        </w:rPr>
      </w:pPr>
      <w:r>
        <w:rPr>
          <w:rFonts w:ascii="Arial" w:hAnsi="Arial" w:cs="Arial"/>
        </w:rPr>
        <w:t xml:space="preserve">Este documento, integrante do Código de Conduta da </w:t>
      </w:r>
      <w:r>
        <w:rPr>
          <w:rFonts w:ascii="Arial" w:hAnsi="Arial" w:cs="Arial"/>
          <w:b/>
          <w:bCs/>
        </w:rPr>
        <w:t>ERFOLG</w:t>
      </w:r>
      <w:r>
        <w:rPr>
          <w:rFonts w:ascii="Arial" w:hAnsi="Arial" w:cs="Arial"/>
        </w:rPr>
        <w:t>,</w:t>
      </w:r>
      <w:r w:rsidRPr="004A3308">
        <w:rPr>
          <w:rFonts w:ascii="Arial" w:hAnsi="Arial" w:cs="Arial"/>
        </w:rPr>
        <w:t xml:space="preserve"> dispõe acerca da política de rateio e divisão de ordens entre carteiras de valores mobiliários (a “</w:t>
      </w:r>
      <w:r w:rsidRPr="004A3308">
        <w:rPr>
          <w:rFonts w:ascii="Arial" w:hAnsi="Arial" w:cs="Arial"/>
          <w:b/>
        </w:rPr>
        <w:t>Política de Rateio e Divisão de Ordens</w:t>
      </w:r>
      <w:r w:rsidRPr="004A3308">
        <w:rPr>
          <w:rFonts w:ascii="Arial" w:hAnsi="Arial" w:cs="Arial"/>
        </w:rPr>
        <w:t xml:space="preserve">”) e tem como objetivo estabelecer as regras e procedimentos aplicáveis às carteiras geridas pela Sociedade, em conformidade com as disposições contidas na </w:t>
      </w:r>
      <w:r>
        <w:rPr>
          <w:rFonts w:ascii="Arial" w:hAnsi="Arial" w:cs="Arial"/>
        </w:rPr>
        <w:t>Resolução CVM 21</w:t>
      </w:r>
      <w:r w:rsidRPr="004A3308">
        <w:rPr>
          <w:rFonts w:ascii="Arial" w:hAnsi="Arial" w:cs="Arial"/>
        </w:rPr>
        <w:t>, bem como com nas demais normas vigentes, de forma a proporcionar tratamento igualitário aos investidores dos fundos de investimento geridos pela Sociedade.</w:t>
      </w:r>
    </w:p>
    <w:p w14:paraId="2BF05DEB" w14:textId="77777777" w:rsidR="00D71580" w:rsidRPr="004A3308" w:rsidRDefault="00D71580" w:rsidP="00D71580">
      <w:pPr>
        <w:tabs>
          <w:tab w:val="left" w:pos="0"/>
        </w:tabs>
        <w:adjustRightInd w:val="0"/>
        <w:spacing w:line="360" w:lineRule="auto"/>
        <w:jc w:val="both"/>
        <w:rPr>
          <w:rFonts w:ascii="Arial" w:hAnsi="Arial" w:cs="Arial"/>
        </w:rPr>
      </w:pPr>
    </w:p>
    <w:p w14:paraId="3F4FD0B2" w14:textId="77777777" w:rsidR="00D71580" w:rsidRDefault="00D71580" w:rsidP="00D71580">
      <w:pPr>
        <w:widowControl/>
        <w:numPr>
          <w:ilvl w:val="0"/>
          <w:numId w:val="10"/>
        </w:numPr>
        <w:tabs>
          <w:tab w:val="left" w:pos="0"/>
        </w:tabs>
        <w:adjustRightInd w:val="0"/>
        <w:spacing w:line="360" w:lineRule="auto"/>
        <w:ind w:left="10" w:hanging="10"/>
        <w:jc w:val="both"/>
        <w:rPr>
          <w:rFonts w:ascii="Arial" w:hAnsi="Arial" w:cs="Arial"/>
        </w:rPr>
      </w:pPr>
      <w:r w:rsidRPr="004A3308">
        <w:rPr>
          <w:rFonts w:ascii="Arial" w:hAnsi="Arial" w:cs="Arial"/>
        </w:rPr>
        <w:t>Toda e qualquer operação com valores mobiliários diligenciada de forma discricionária pela Sociedade e repassada à corretora autorizada sob a denominação de “</w:t>
      </w:r>
      <w:r w:rsidRPr="004A3308">
        <w:rPr>
          <w:rFonts w:ascii="Arial" w:hAnsi="Arial" w:cs="Arial"/>
          <w:b/>
        </w:rPr>
        <w:t>Ordem</w:t>
      </w:r>
      <w:r w:rsidRPr="004A3308">
        <w:rPr>
          <w:rFonts w:ascii="Arial" w:hAnsi="Arial" w:cs="Arial"/>
        </w:rPr>
        <w:t>” ou “</w:t>
      </w:r>
      <w:r w:rsidRPr="004A3308">
        <w:rPr>
          <w:rFonts w:ascii="Arial" w:hAnsi="Arial" w:cs="Arial"/>
          <w:b/>
        </w:rPr>
        <w:t>Ordens</w:t>
      </w:r>
      <w:r w:rsidRPr="004A3308">
        <w:rPr>
          <w:rFonts w:ascii="Arial" w:hAnsi="Arial" w:cs="Arial"/>
        </w:rPr>
        <w:t xml:space="preserve">” deverá sujeitar-se à política de investimentos contida no regulamento dos fundos geridos ou com ao perfil do investidor dos clientes, conforme o caso. </w:t>
      </w:r>
    </w:p>
    <w:p w14:paraId="74060BB6" w14:textId="77777777" w:rsidR="00D71580" w:rsidRDefault="00D71580" w:rsidP="00D71580">
      <w:pPr>
        <w:pStyle w:val="PargrafodaLista"/>
        <w:rPr>
          <w:rFonts w:ascii="Arial" w:hAnsi="Arial" w:cs="Arial"/>
        </w:rPr>
      </w:pPr>
    </w:p>
    <w:p w14:paraId="26FC3729" w14:textId="77777777" w:rsidR="00D71580" w:rsidRDefault="00D71580" w:rsidP="00D71580">
      <w:pPr>
        <w:widowControl/>
        <w:numPr>
          <w:ilvl w:val="0"/>
          <w:numId w:val="10"/>
        </w:numPr>
        <w:tabs>
          <w:tab w:val="left" w:pos="0"/>
        </w:tabs>
        <w:adjustRightInd w:val="0"/>
        <w:spacing w:line="360" w:lineRule="auto"/>
        <w:ind w:left="10" w:hanging="10"/>
        <w:jc w:val="both"/>
        <w:rPr>
          <w:rFonts w:ascii="Arial" w:hAnsi="Arial" w:cs="Arial"/>
        </w:rPr>
      </w:pPr>
      <w:r w:rsidRPr="004A3308">
        <w:rPr>
          <w:rFonts w:ascii="Arial" w:hAnsi="Arial" w:cs="Arial"/>
        </w:rPr>
        <w:t>As ordens de compra e de venda de ativos podem ser realizadas em conjunto ou individualmente. Caso ocorra o agrupamento de ordens, o Diretor de Investimentos deve seguir os procedimentos mínimos de alocação justa no rateio das ordens, nos termos abaixo:</w:t>
      </w:r>
    </w:p>
    <w:p w14:paraId="34DCE50E" w14:textId="77777777" w:rsidR="00D71580" w:rsidRPr="004A3308" w:rsidRDefault="00D71580" w:rsidP="00D71580">
      <w:pPr>
        <w:tabs>
          <w:tab w:val="left" w:pos="0"/>
        </w:tabs>
        <w:adjustRightInd w:val="0"/>
        <w:spacing w:line="360" w:lineRule="auto"/>
        <w:jc w:val="both"/>
        <w:rPr>
          <w:rFonts w:ascii="Arial" w:hAnsi="Arial" w:cs="Arial"/>
        </w:rPr>
      </w:pPr>
    </w:p>
    <w:p w14:paraId="194C16AA" w14:textId="77777777" w:rsidR="00D71580" w:rsidRDefault="00D71580" w:rsidP="00D71580">
      <w:pPr>
        <w:pStyle w:val="PargrafodaLista"/>
        <w:widowControl/>
        <w:numPr>
          <w:ilvl w:val="0"/>
          <w:numId w:val="11"/>
        </w:numPr>
        <w:tabs>
          <w:tab w:val="left" w:pos="0"/>
        </w:tabs>
        <w:adjustRightInd w:val="0"/>
        <w:spacing w:line="360" w:lineRule="auto"/>
        <w:contextualSpacing/>
        <w:rPr>
          <w:rFonts w:ascii="Arial" w:hAnsi="Arial" w:cs="Arial"/>
        </w:rPr>
      </w:pPr>
      <w:r w:rsidRPr="004A3308">
        <w:rPr>
          <w:rFonts w:ascii="Arial" w:hAnsi="Arial" w:cs="Arial"/>
        </w:rPr>
        <w:t>As ordens agrupadas devem ser separadas e organizadas</w:t>
      </w:r>
      <w:r>
        <w:rPr>
          <w:rFonts w:ascii="Arial" w:hAnsi="Arial" w:cs="Arial"/>
        </w:rPr>
        <w:t xml:space="preserve"> </w:t>
      </w:r>
      <w:r w:rsidRPr="004A3308">
        <w:rPr>
          <w:rFonts w:ascii="Arial" w:hAnsi="Arial" w:cs="Arial"/>
        </w:rPr>
        <w:t>de acordo com uma estratégia específica de sua política de investimento e um objetivo predefinido de cada uma delas</w:t>
      </w:r>
      <w:r>
        <w:rPr>
          <w:rFonts w:ascii="Arial" w:hAnsi="Arial" w:cs="Arial"/>
        </w:rPr>
        <w:t>;</w:t>
      </w:r>
    </w:p>
    <w:p w14:paraId="170E43AA" w14:textId="77777777" w:rsidR="00D71580" w:rsidRDefault="00D71580" w:rsidP="00D71580">
      <w:pPr>
        <w:pStyle w:val="PargrafodaLista"/>
        <w:widowControl/>
        <w:numPr>
          <w:ilvl w:val="0"/>
          <w:numId w:val="11"/>
        </w:numPr>
        <w:tabs>
          <w:tab w:val="left" w:pos="0"/>
        </w:tabs>
        <w:adjustRightInd w:val="0"/>
        <w:spacing w:line="360" w:lineRule="auto"/>
        <w:contextualSpacing/>
        <w:rPr>
          <w:rFonts w:ascii="Arial" w:hAnsi="Arial" w:cs="Arial"/>
        </w:rPr>
      </w:pPr>
      <w:r>
        <w:rPr>
          <w:rFonts w:ascii="Arial" w:hAnsi="Arial" w:cs="Arial"/>
        </w:rPr>
        <w:t>a</w:t>
      </w:r>
      <w:r w:rsidRPr="004A3308">
        <w:rPr>
          <w:rFonts w:ascii="Arial" w:hAnsi="Arial" w:cs="Arial"/>
        </w:rPr>
        <w:t>s ordens realizadas para as carteiras de investimentos que seguem uma mesma estratégia são enviadas em conjunto e, uma vez executadas, devem ser rateadas proporcionalmente, promovendo, portanto, uma alocação pro rata entre estas, de acordo com o estoque e o fator de alavancagem definido em suas respectivas políticas de investimento, sempre utilizando o critério de preço médio;</w:t>
      </w:r>
    </w:p>
    <w:p w14:paraId="19468450" w14:textId="77777777" w:rsidR="00D71580" w:rsidRPr="004A3308" w:rsidRDefault="00D71580" w:rsidP="00D71580">
      <w:pPr>
        <w:pStyle w:val="PargrafodaLista"/>
        <w:widowControl/>
        <w:numPr>
          <w:ilvl w:val="0"/>
          <w:numId w:val="11"/>
        </w:numPr>
        <w:tabs>
          <w:tab w:val="left" w:pos="0"/>
        </w:tabs>
        <w:adjustRightInd w:val="0"/>
        <w:spacing w:line="360" w:lineRule="auto"/>
        <w:contextualSpacing/>
        <w:rPr>
          <w:rFonts w:ascii="Arial" w:hAnsi="Arial" w:cs="Arial"/>
        </w:rPr>
      </w:pPr>
      <w:r>
        <w:rPr>
          <w:rFonts w:ascii="Arial" w:hAnsi="Arial" w:cs="Arial"/>
        </w:rPr>
        <w:t>n</w:t>
      </w:r>
      <w:r w:rsidRPr="004A3308">
        <w:rPr>
          <w:rFonts w:ascii="Arial" w:hAnsi="Arial" w:cs="Arial"/>
        </w:rPr>
        <w:t>o caso de baixa liquidez dos ativos, de forma a não permitir a alocação justa para o volume negociado, o Diretor de Investimentos deve informar a Administradora Fiduciária do fundo de investimento acerca das medidas a serem tomadas e os respectivos prazos previstos para fins de regularização da alocação; e</w:t>
      </w:r>
    </w:p>
    <w:p w14:paraId="414EA357" w14:textId="77777777" w:rsidR="00D71580" w:rsidRPr="004A3308" w:rsidRDefault="00D71580" w:rsidP="00D71580">
      <w:pPr>
        <w:tabs>
          <w:tab w:val="left" w:pos="0"/>
        </w:tabs>
        <w:adjustRightInd w:val="0"/>
        <w:spacing w:line="360" w:lineRule="auto"/>
        <w:jc w:val="both"/>
        <w:rPr>
          <w:rFonts w:ascii="Arial" w:hAnsi="Arial" w:cs="Arial"/>
        </w:rPr>
      </w:pPr>
      <w:r w:rsidRPr="004A3308">
        <w:rPr>
          <w:rFonts w:ascii="Arial" w:hAnsi="Arial" w:cs="Arial"/>
        </w:rPr>
        <w:tab/>
      </w:r>
    </w:p>
    <w:p w14:paraId="00DD15E1" w14:textId="77777777" w:rsidR="00D71580" w:rsidRPr="004A3308" w:rsidRDefault="00D71580" w:rsidP="00D71580">
      <w:pPr>
        <w:pStyle w:val="PargrafodaLista"/>
        <w:widowControl/>
        <w:numPr>
          <w:ilvl w:val="0"/>
          <w:numId w:val="10"/>
        </w:numPr>
        <w:tabs>
          <w:tab w:val="left" w:pos="0"/>
        </w:tabs>
        <w:adjustRightInd w:val="0"/>
        <w:spacing w:line="360" w:lineRule="auto"/>
        <w:ind w:left="0" w:firstLine="0"/>
        <w:contextualSpacing/>
        <w:rPr>
          <w:rFonts w:ascii="Arial" w:hAnsi="Arial" w:cs="Arial"/>
        </w:rPr>
      </w:pPr>
      <w:r w:rsidRPr="004A3308">
        <w:rPr>
          <w:rFonts w:ascii="Arial" w:hAnsi="Arial" w:cs="Arial"/>
        </w:rPr>
        <w:t>Na substituição de ordens parcialmente executadas, o Diretor de Investimentos pode determinar um novo rateio para esta carteira de investimentos especificamente, desde que seja considerado justo e razoável em relação às demais carteiras de investimentos geridas de acordo com a mesma estratégia.</w:t>
      </w:r>
    </w:p>
    <w:p w14:paraId="3C9D00FA" w14:textId="77777777" w:rsidR="00D71580" w:rsidRDefault="00D71580" w:rsidP="00D71580">
      <w:pPr>
        <w:pStyle w:val="PargrafodaLista"/>
        <w:tabs>
          <w:tab w:val="left" w:pos="0"/>
          <w:tab w:val="left" w:pos="709"/>
        </w:tabs>
        <w:adjustRightInd w:val="0"/>
        <w:spacing w:line="360" w:lineRule="auto"/>
        <w:ind w:left="10"/>
        <w:rPr>
          <w:rFonts w:ascii="Arial" w:hAnsi="Arial" w:cs="Arial"/>
          <w:lang w:val="x-none"/>
        </w:rPr>
      </w:pPr>
    </w:p>
    <w:p w14:paraId="6E3B3F0D" w14:textId="77777777" w:rsidR="00D71580" w:rsidRPr="004A3308" w:rsidRDefault="00D71580" w:rsidP="00D71580">
      <w:pPr>
        <w:pStyle w:val="PargrafodaLista"/>
        <w:widowControl/>
        <w:numPr>
          <w:ilvl w:val="0"/>
          <w:numId w:val="10"/>
        </w:numPr>
        <w:tabs>
          <w:tab w:val="left" w:pos="0"/>
          <w:tab w:val="left" w:pos="709"/>
        </w:tabs>
        <w:adjustRightInd w:val="0"/>
        <w:spacing w:line="360" w:lineRule="auto"/>
        <w:ind w:left="10" w:hanging="10"/>
        <w:rPr>
          <w:rFonts w:ascii="Arial" w:hAnsi="Arial" w:cs="Arial"/>
          <w:lang w:val="x-none"/>
        </w:rPr>
      </w:pPr>
      <w:r w:rsidRPr="004A3308">
        <w:rPr>
          <w:rFonts w:ascii="Arial" w:hAnsi="Arial" w:cs="Arial"/>
          <w:lang w:val="x-none"/>
        </w:rPr>
        <w:lastRenderedPageBreak/>
        <w:t>A presente Política de Rateio e Divisão de Ordens não permite quaisquer tipos de vantagens entre as carteiras de investimentos.</w:t>
      </w:r>
    </w:p>
    <w:p w14:paraId="71EEBEEB" w14:textId="77777777" w:rsidR="00D71580" w:rsidRPr="004A3308" w:rsidRDefault="00D71580" w:rsidP="00D71580">
      <w:pPr>
        <w:pStyle w:val="PargrafodaLista"/>
        <w:tabs>
          <w:tab w:val="left" w:pos="0"/>
          <w:tab w:val="left" w:pos="709"/>
        </w:tabs>
        <w:adjustRightInd w:val="0"/>
        <w:spacing w:line="360" w:lineRule="auto"/>
        <w:ind w:left="10"/>
        <w:rPr>
          <w:rFonts w:ascii="Arial" w:hAnsi="Arial" w:cs="Arial"/>
          <w:lang w:val="x-none"/>
        </w:rPr>
      </w:pPr>
    </w:p>
    <w:p w14:paraId="6F1F3E78" w14:textId="77777777" w:rsidR="00D71580" w:rsidRPr="004A3308" w:rsidRDefault="00D71580" w:rsidP="00D71580">
      <w:pPr>
        <w:pStyle w:val="Corpodetexto"/>
        <w:widowControl/>
        <w:numPr>
          <w:ilvl w:val="0"/>
          <w:numId w:val="10"/>
        </w:numPr>
        <w:tabs>
          <w:tab w:val="left" w:pos="0"/>
          <w:tab w:val="left" w:pos="567"/>
        </w:tabs>
        <w:autoSpaceDE/>
        <w:autoSpaceDN/>
        <w:spacing w:line="360" w:lineRule="auto"/>
        <w:ind w:left="10" w:hanging="10"/>
        <w:jc w:val="both"/>
        <w:rPr>
          <w:rFonts w:ascii="Arial" w:hAnsi="Arial" w:cs="Arial"/>
          <w:sz w:val="22"/>
          <w:szCs w:val="22"/>
          <w:lang w:val="pt-BR"/>
        </w:rPr>
      </w:pPr>
      <w:r w:rsidRPr="004A3308">
        <w:rPr>
          <w:rFonts w:ascii="Arial" w:hAnsi="Arial" w:cs="Arial"/>
          <w:sz w:val="22"/>
          <w:szCs w:val="22"/>
          <w:lang w:val="pt-BR"/>
        </w:rPr>
        <w:t>O</w:t>
      </w:r>
      <w:r w:rsidRPr="004A3308">
        <w:rPr>
          <w:rFonts w:ascii="Arial" w:hAnsi="Arial" w:cs="Arial"/>
          <w:sz w:val="22"/>
          <w:szCs w:val="22"/>
        </w:rPr>
        <w:t xml:space="preserve">s Colaboradores da </w:t>
      </w:r>
      <w:r w:rsidRPr="004A3308">
        <w:rPr>
          <w:rFonts w:ascii="Arial" w:hAnsi="Arial" w:cs="Arial"/>
          <w:sz w:val="22"/>
          <w:szCs w:val="22"/>
          <w:lang w:val="pt-BR"/>
        </w:rPr>
        <w:t>Sociedade,</w:t>
      </w:r>
      <w:r w:rsidRPr="004A3308">
        <w:rPr>
          <w:rFonts w:ascii="Arial" w:hAnsi="Arial" w:cs="Arial"/>
          <w:sz w:val="22"/>
          <w:szCs w:val="22"/>
        </w:rPr>
        <w:t xml:space="preserve"> </w:t>
      </w:r>
      <w:r w:rsidRPr="004A3308">
        <w:rPr>
          <w:rFonts w:ascii="Arial" w:hAnsi="Arial" w:cs="Arial"/>
          <w:sz w:val="22"/>
          <w:szCs w:val="22"/>
          <w:lang w:val="pt-BR"/>
        </w:rPr>
        <w:t xml:space="preserve">ao firmarem o </w:t>
      </w:r>
      <w:r w:rsidRPr="004A3308">
        <w:rPr>
          <w:rFonts w:ascii="Arial" w:hAnsi="Arial" w:cs="Arial"/>
          <w:sz w:val="22"/>
          <w:szCs w:val="22"/>
        </w:rPr>
        <w:t xml:space="preserve">Anexo </w:t>
      </w:r>
      <w:r w:rsidRPr="004A3308">
        <w:rPr>
          <w:rFonts w:ascii="Arial" w:hAnsi="Arial" w:cs="Arial"/>
          <w:sz w:val="22"/>
          <w:szCs w:val="22"/>
          <w:lang w:val="pt-BR"/>
        </w:rPr>
        <w:t>I</w:t>
      </w:r>
      <w:r w:rsidRPr="004A3308">
        <w:rPr>
          <w:rFonts w:ascii="Arial" w:hAnsi="Arial" w:cs="Arial"/>
          <w:sz w:val="22"/>
          <w:szCs w:val="22"/>
        </w:rPr>
        <w:t>,</w:t>
      </w:r>
      <w:r w:rsidRPr="004A3308">
        <w:rPr>
          <w:rFonts w:ascii="Arial" w:hAnsi="Arial" w:cs="Arial"/>
          <w:sz w:val="22"/>
          <w:szCs w:val="22"/>
          <w:lang w:val="pt-BR"/>
        </w:rPr>
        <w:t xml:space="preserve"> expressamente atestam aderir à Política de Rateio e Divisão de Ordens contida neste </w:t>
      </w:r>
      <w:r>
        <w:rPr>
          <w:rFonts w:ascii="Arial" w:hAnsi="Arial" w:cs="Arial"/>
          <w:sz w:val="22"/>
          <w:szCs w:val="22"/>
          <w:lang w:val="pt-BR"/>
        </w:rPr>
        <w:t>documento</w:t>
      </w:r>
      <w:r w:rsidRPr="004A3308">
        <w:rPr>
          <w:rFonts w:ascii="Arial" w:hAnsi="Arial" w:cs="Arial"/>
          <w:sz w:val="22"/>
          <w:szCs w:val="22"/>
          <w:lang w:val="pt-BR"/>
        </w:rPr>
        <w:t>.</w:t>
      </w:r>
    </w:p>
    <w:p w14:paraId="1CAC809A" w14:textId="77777777" w:rsidR="00D71580" w:rsidRPr="004A3308" w:rsidRDefault="00D71580" w:rsidP="00D71580">
      <w:pPr>
        <w:pStyle w:val="PargrafodaLista"/>
        <w:spacing w:line="360" w:lineRule="auto"/>
        <w:rPr>
          <w:rFonts w:ascii="Arial" w:hAnsi="Arial" w:cs="Arial"/>
        </w:rPr>
      </w:pPr>
    </w:p>
    <w:p w14:paraId="20CE42ED" w14:textId="77777777" w:rsidR="00D71580" w:rsidRDefault="00D71580" w:rsidP="00D71580">
      <w:pPr>
        <w:pStyle w:val="PargrafodaLista"/>
        <w:widowControl/>
        <w:numPr>
          <w:ilvl w:val="0"/>
          <w:numId w:val="10"/>
        </w:numPr>
        <w:tabs>
          <w:tab w:val="left" w:pos="0"/>
        </w:tabs>
        <w:autoSpaceDE/>
        <w:autoSpaceDN/>
        <w:spacing w:line="360" w:lineRule="auto"/>
        <w:ind w:left="0" w:firstLine="0"/>
        <w:contextualSpacing/>
        <w:rPr>
          <w:rFonts w:ascii="Arial" w:hAnsi="Arial" w:cs="Arial"/>
        </w:rPr>
      </w:pPr>
      <w:r w:rsidRPr="004A3308">
        <w:rPr>
          <w:rFonts w:ascii="Arial" w:hAnsi="Arial" w:cs="Arial"/>
        </w:rPr>
        <w:t>Esta Política de Rateio e Divisão de Ordens deverá ser atualizada anualmente, estipulando-se que, caso necessário, atualizações anteriores poderão ser implementadas.</w:t>
      </w:r>
    </w:p>
    <w:p w14:paraId="23EA53AB" w14:textId="77777777" w:rsidR="00D71580" w:rsidRPr="00F35C8B" w:rsidRDefault="00D71580" w:rsidP="00D71580">
      <w:pPr>
        <w:pStyle w:val="PargrafodaLista"/>
        <w:rPr>
          <w:rFonts w:ascii="Arial" w:hAnsi="Arial" w:cs="Arial"/>
        </w:rPr>
      </w:pPr>
    </w:p>
    <w:p w14:paraId="6F988B3A" w14:textId="77777777" w:rsidR="00D71580" w:rsidRPr="004A3308" w:rsidRDefault="00D71580" w:rsidP="00D71580">
      <w:pPr>
        <w:pStyle w:val="PargrafodaLista"/>
        <w:widowControl/>
        <w:numPr>
          <w:ilvl w:val="0"/>
          <w:numId w:val="10"/>
        </w:numPr>
        <w:tabs>
          <w:tab w:val="left" w:pos="0"/>
        </w:tabs>
        <w:autoSpaceDE/>
        <w:autoSpaceDN/>
        <w:spacing w:line="360" w:lineRule="auto"/>
        <w:ind w:left="0" w:firstLine="0"/>
        <w:contextualSpacing/>
        <w:rPr>
          <w:rFonts w:ascii="Arial" w:hAnsi="Arial" w:cs="Arial"/>
        </w:rPr>
      </w:pPr>
      <w:r>
        <w:rPr>
          <w:rFonts w:ascii="Arial" w:hAnsi="Arial" w:cs="Arial"/>
        </w:rPr>
        <w:t>Ao firmar o Anexo I, os colaboradores tomam conhecimento da existência desta Política e se comprometem a acatar as regras e princípios contidos aqui.</w:t>
      </w:r>
    </w:p>
    <w:p w14:paraId="4A22348B" w14:textId="77777777" w:rsidR="00D71580" w:rsidRPr="004A3308" w:rsidRDefault="00D71580" w:rsidP="00D71580">
      <w:pPr>
        <w:tabs>
          <w:tab w:val="left" w:pos="0"/>
        </w:tabs>
        <w:adjustRightInd w:val="0"/>
        <w:spacing w:line="360" w:lineRule="auto"/>
        <w:rPr>
          <w:rFonts w:ascii="Arial" w:hAnsi="Arial" w:cs="Arial"/>
        </w:rPr>
      </w:pPr>
    </w:p>
    <w:p w14:paraId="1D4697BB" w14:textId="77777777" w:rsidR="00D71580" w:rsidRPr="00C41B57" w:rsidRDefault="00D71580" w:rsidP="00D71580"/>
    <w:p w14:paraId="557AADC6" w14:textId="48A7D546" w:rsidR="00D779FE" w:rsidRPr="002B48D1" w:rsidRDefault="00D779FE" w:rsidP="002B48D1"/>
    <w:sectPr w:rsidR="00D779FE" w:rsidRPr="002B48D1" w:rsidSect="00435B57">
      <w:headerReference w:type="default" r:id="rId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6D8D" w14:textId="77777777" w:rsidR="00105D32" w:rsidRDefault="00105D32" w:rsidP="00435B57">
      <w:r>
        <w:separator/>
      </w:r>
    </w:p>
  </w:endnote>
  <w:endnote w:type="continuationSeparator" w:id="0">
    <w:p w14:paraId="237042E0" w14:textId="77777777" w:rsidR="00105D32" w:rsidRDefault="00105D32" w:rsidP="0043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0108" w14:textId="77777777" w:rsidR="00105D32" w:rsidRDefault="00105D32" w:rsidP="00435B57">
      <w:r>
        <w:separator/>
      </w:r>
    </w:p>
  </w:footnote>
  <w:footnote w:type="continuationSeparator" w:id="0">
    <w:p w14:paraId="43474D69" w14:textId="77777777" w:rsidR="00105D32" w:rsidRDefault="00105D32" w:rsidP="0043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821" w14:textId="77777777" w:rsidR="00435B57" w:rsidRDefault="00435B57" w:rsidP="00435B57">
    <w:pPr>
      <w:pStyle w:val="Cabealho"/>
      <w:jc w:val="right"/>
    </w:pPr>
    <w:r>
      <w:rPr>
        <w:noProof/>
        <w:sz w:val="20"/>
      </w:rPr>
      <w:drawing>
        <wp:inline distT="0" distB="0" distL="0" distR="0" wp14:anchorId="60A59B67" wp14:editId="4C47B268">
          <wp:extent cx="1924050" cy="6096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pic:spPr>
              </pic:pic>
            </a:graphicData>
          </a:graphic>
        </wp:inline>
      </w:drawing>
    </w:r>
  </w:p>
  <w:p w14:paraId="334DA612" w14:textId="77777777" w:rsidR="00435B57" w:rsidRDefault="00435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A39"/>
    <w:multiLevelType w:val="hybridMultilevel"/>
    <w:tmpl w:val="E1D43D48"/>
    <w:lvl w:ilvl="0" w:tplc="4DDA0FFA">
      <w:numFmt w:val="none"/>
      <w:lvlText w:val=""/>
      <w:lvlJc w:val="left"/>
      <w:pPr>
        <w:tabs>
          <w:tab w:val="num" w:pos="360"/>
        </w:tabs>
      </w:pPr>
    </w:lvl>
    <w:lvl w:ilvl="1" w:tplc="609C9ABC">
      <w:numFmt w:val="bullet"/>
      <w:lvlText w:val="•"/>
      <w:lvlJc w:val="left"/>
      <w:pPr>
        <w:ind w:left="320" w:hanging="435"/>
      </w:pPr>
      <w:rPr>
        <w:rFonts w:hint="default"/>
        <w:lang w:val="pt-PT" w:eastAsia="pt-PT" w:bidi="pt-PT"/>
      </w:rPr>
    </w:lvl>
    <w:lvl w:ilvl="2" w:tplc="B9184DF0">
      <w:numFmt w:val="bullet"/>
      <w:lvlText w:val="•"/>
      <w:lvlJc w:val="left"/>
      <w:pPr>
        <w:ind w:left="1256" w:hanging="435"/>
      </w:pPr>
      <w:rPr>
        <w:rFonts w:hint="default"/>
        <w:lang w:val="pt-PT" w:eastAsia="pt-PT" w:bidi="pt-PT"/>
      </w:rPr>
    </w:lvl>
    <w:lvl w:ilvl="3" w:tplc="7A0CBAF4">
      <w:numFmt w:val="bullet"/>
      <w:lvlText w:val="•"/>
      <w:lvlJc w:val="left"/>
      <w:pPr>
        <w:ind w:left="2192" w:hanging="435"/>
      </w:pPr>
      <w:rPr>
        <w:rFonts w:hint="default"/>
        <w:lang w:val="pt-PT" w:eastAsia="pt-PT" w:bidi="pt-PT"/>
      </w:rPr>
    </w:lvl>
    <w:lvl w:ilvl="4" w:tplc="B1D6ED24">
      <w:numFmt w:val="bullet"/>
      <w:lvlText w:val="•"/>
      <w:lvlJc w:val="left"/>
      <w:pPr>
        <w:ind w:left="3128" w:hanging="435"/>
      </w:pPr>
      <w:rPr>
        <w:rFonts w:hint="default"/>
        <w:lang w:val="pt-PT" w:eastAsia="pt-PT" w:bidi="pt-PT"/>
      </w:rPr>
    </w:lvl>
    <w:lvl w:ilvl="5" w:tplc="1DBC1E5C">
      <w:numFmt w:val="bullet"/>
      <w:lvlText w:val="•"/>
      <w:lvlJc w:val="left"/>
      <w:pPr>
        <w:ind w:left="4065" w:hanging="435"/>
      </w:pPr>
      <w:rPr>
        <w:rFonts w:hint="default"/>
        <w:lang w:val="pt-PT" w:eastAsia="pt-PT" w:bidi="pt-PT"/>
      </w:rPr>
    </w:lvl>
    <w:lvl w:ilvl="6" w:tplc="FC12F624">
      <w:numFmt w:val="bullet"/>
      <w:lvlText w:val="•"/>
      <w:lvlJc w:val="left"/>
      <w:pPr>
        <w:ind w:left="5001" w:hanging="435"/>
      </w:pPr>
      <w:rPr>
        <w:rFonts w:hint="default"/>
        <w:lang w:val="pt-PT" w:eastAsia="pt-PT" w:bidi="pt-PT"/>
      </w:rPr>
    </w:lvl>
    <w:lvl w:ilvl="7" w:tplc="60E83502">
      <w:numFmt w:val="bullet"/>
      <w:lvlText w:val="•"/>
      <w:lvlJc w:val="left"/>
      <w:pPr>
        <w:ind w:left="5937" w:hanging="435"/>
      </w:pPr>
      <w:rPr>
        <w:rFonts w:hint="default"/>
        <w:lang w:val="pt-PT" w:eastAsia="pt-PT" w:bidi="pt-PT"/>
      </w:rPr>
    </w:lvl>
    <w:lvl w:ilvl="8" w:tplc="1334FD96">
      <w:numFmt w:val="bullet"/>
      <w:lvlText w:val="•"/>
      <w:lvlJc w:val="left"/>
      <w:pPr>
        <w:ind w:left="6873" w:hanging="435"/>
      </w:pPr>
      <w:rPr>
        <w:rFonts w:hint="default"/>
        <w:lang w:val="pt-PT" w:eastAsia="pt-PT" w:bidi="pt-PT"/>
      </w:rPr>
    </w:lvl>
  </w:abstractNum>
  <w:abstractNum w:abstractNumId="1" w15:restartNumberingAfterBreak="0">
    <w:nsid w:val="24DF381F"/>
    <w:multiLevelType w:val="hybridMultilevel"/>
    <w:tmpl w:val="75D01BB4"/>
    <w:lvl w:ilvl="0" w:tplc="892E2F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C2698E"/>
    <w:multiLevelType w:val="hybridMultilevel"/>
    <w:tmpl w:val="1388B0A0"/>
    <w:lvl w:ilvl="0" w:tplc="7D64EE42">
      <w:start w:val="1"/>
      <w:numFmt w:val="decimal"/>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3" w15:restartNumberingAfterBreak="0">
    <w:nsid w:val="3E7C6729"/>
    <w:multiLevelType w:val="hybridMultilevel"/>
    <w:tmpl w:val="CC66037A"/>
    <w:lvl w:ilvl="0" w:tplc="F648E026">
      <w:start w:val="10"/>
      <w:numFmt w:val="lowerLetter"/>
      <w:lvlText w:val="%1."/>
      <w:lvlJc w:val="left"/>
      <w:pPr>
        <w:ind w:left="481" w:hanging="360"/>
      </w:pPr>
      <w:rPr>
        <w:rFonts w:hint="default"/>
      </w:rPr>
    </w:lvl>
    <w:lvl w:ilvl="1" w:tplc="04160019" w:tentative="1">
      <w:start w:val="1"/>
      <w:numFmt w:val="lowerLetter"/>
      <w:lvlText w:val="%2."/>
      <w:lvlJc w:val="left"/>
      <w:pPr>
        <w:ind w:left="1201" w:hanging="360"/>
      </w:pPr>
    </w:lvl>
    <w:lvl w:ilvl="2" w:tplc="0416001B" w:tentative="1">
      <w:start w:val="1"/>
      <w:numFmt w:val="lowerRoman"/>
      <w:lvlText w:val="%3."/>
      <w:lvlJc w:val="right"/>
      <w:pPr>
        <w:ind w:left="1921" w:hanging="180"/>
      </w:pPr>
    </w:lvl>
    <w:lvl w:ilvl="3" w:tplc="0416000F" w:tentative="1">
      <w:start w:val="1"/>
      <w:numFmt w:val="decimal"/>
      <w:lvlText w:val="%4."/>
      <w:lvlJc w:val="left"/>
      <w:pPr>
        <w:ind w:left="2641" w:hanging="360"/>
      </w:pPr>
    </w:lvl>
    <w:lvl w:ilvl="4" w:tplc="04160019" w:tentative="1">
      <w:start w:val="1"/>
      <w:numFmt w:val="lowerLetter"/>
      <w:lvlText w:val="%5."/>
      <w:lvlJc w:val="left"/>
      <w:pPr>
        <w:ind w:left="3361" w:hanging="360"/>
      </w:pPr>
    </w:lvl>
    <w:lvl w:ilvl="5" w:tplc="0416001B" w:tentative="1">
      <w:start w:val="1"/>
      <w:numFmt w:val="lowerRoman"/>
      <w:lvlText w:val="%6."/>
      <w:lvlJc w:val="right"/>
      <w:pPr>
        <w:ind w:left="4081" w:hanging="180"/>
      </w:pPr>
    </w:lvl>
    <w:lvl w:ilvl="6" w:tplc="0416000F" w:tentative="1">
      <w:start w:val="1"/>
      <w:numFmt w:val="decimal"/>
      <w:lvlText w:val="%7."/>
      <w:lvlJc w:val="left"/>
      <w:pPr>
        <w:ind w:left="4801" w:hanging="360"/>
      </w:pPr>
    </w:lvl>
    <w:lvl w:ilvl="7" w:tplc="04160019" w:tentative="1">
      <w:start w:val="1"/>
      <w:numFmt w:val="lowerLetter"/>
      <w:lvlText w:val="%8."/>
      <w:lvlJc w:val="left"/>
      <w:pPr>
        <w:ind w:left="5521" w:hanging="360"/>
      </w:pPr>
    </w:lvl>
    <w:lvl w:ilvl="8" w:tplc="0416001B" w:tentative="1">
      <w:start w:val="1"/>
      <w:numFmt w:val="lowerRoman"/>
      <w:lvlText w:val="%9."/>
      <w:lvlJc w:val="right"/>
      <w:pPr>
        <w:ind w:left="6241" w:hanging="180"/>
      </w:pPr>
    </w:lvl>
  </w:abstractNum>
  <w:abstractNum w:abstractNumId="4" w15:restartNumberingAfterBreak="0">
    <w:nsid w:val="3ECD1026"/>
    <w:multiLevelType w:val="hybridMultilevel"/>
    <w:tmpl w:val="D706883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D6790A"/>
    <w:multiLevelType w:val="multilevel"/>
    <w:tmpl w:val="176037A8"/>
    <w:lvl w:ilvl="0">
      <w:start w:val="1"/>
      <w:numFmt w:val="lowerRoman"/>
      <w:lvlText w:val="%1."/>
      <w:lvlJc w:val="left"/>
      <w:pPr>
        <w:ind w:left="309" w:hanging="188"/>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30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2" w:hanging="689"/>
      </w:pPr>
      <w:rPr>
        <w:rFonts w:ascii="Times New Roman" w:eastAsia="Times New Roman" w:hAnsi="Times New Roman" w:cs="Times New Roman" w:hint="default"/>
        <w:spacing w:val="-2"/>
        <w:w w:val="99"/>
        <w:sz w:val="24"/>
        <w:szCs w:val="24"/>
        <w:lang w:val="pt-PT" w:eastAsia="pt-PT" w:bidi="pt-PT"/>
      </w:rPr>
    </w:lvl>
    <w:lvl w:ilvl="3">
      <w:numFmt w:val="bullet"/>
      <w:lvlText w:val="•"/>
      <w:lvlJc w:val="left"/>
      <w:pPr>
        <w:ind w:left="2176" w:hanging="689"/>
      </w:pPr>
      <w:rPr>
        <w:rFonts w:hint="default"/>
        <w:lang w:val="pt-PT" w:eastAsia="pt-PT" w:bidi="pt-PT"/>
      </w:rPr>
    </w:lvl>
    <w:lvl w:ilvl="4">
      <w:numFmt w:val="bullet"/>
      <w:lvlText w:val="•"/>
      <w:lvlJc w:val="left"/>
      <w:pPr>
        <w:ind w:left="3115" w:hanging="689"/>
      </w:pPr>
      <w:rPr>
        <w:rFonts w:hint="default"/>
        <w:lang w:val="pt-PT" w:eastAsia="pt-PT" w:bidi="pt-PT"/>
      </w:rPr>
    </w:lvl>
    <w:lvl w:ilvl="5">
      <w:numFmt w:val="bullet"/>
      <w:lvlText w:val="•"/>
      <w:lvlJc w:val="left"/>
      <w:pPr>
        <w:ind w:left="4053" w:hanging="689"/>
      </w:pPr>
      <w:rPr>
        <w:rFonts w:hint="default"/>
        <w:lang w:val="pt-PT" w:eastAsia="pt-PT" w:bidi="pt-PT"/>
      </w:rPr>
    </w:lvl>
    <w:lvl w:ilvl="6">
      <w:numFmt w:val="bullet"/>
      <w:lvlText w:val="•"/>
      <w:lvlJc w:val="left"/>
      <w:pPr>
        <w:ind w:left="4992" w:hanging="689"/>
      </w:pPr>
      <w:rPr>
        <w:rFonts w:hint="default"/>
        <w:lang w:val="pt-PT" w:eastAsia="pt-PT" w:bidi="pt-PT"/>
      </w:rPr>
    </w:lvl>
    <w:lvl w:ilvl="7">
      <w:numFmt w:val="bullet"/>
      <w:lvlText w:val="•"/>
      <w:lvlJc w:val="left"/>
      <w:pPr>
        <w:ind w:left="5930" w:hanging="689"/>
      </w:pPr>
      <w:rPr>
        <w:rFonts w:hint="default"/>
        <w:lang w:val="pt-PT" w:eastAsia="pt-PT" w:bidi="pt-PT"/>
      </w:rPr>
    </w:lvl>
    <w:lvl w:ilvl="8">
      <w:numFmt w:val="bullet"/>
      <w:lvlText w:val="•"/>
      <w:lvlJc w:val="left"/>
      <w:pPr>
        <w:ind w:left="6869" w:hanging="689"/>
      </w:pPr>
      <w:rPr>
        <w:rFonts w:hint="default"/>
        <w:lang w:val="pt-PT" w:eastAsia="pt-PT" w:bidi="pt-PT"/>
      </w:rPr>
    </w:lvl>
  </w:abstractNum>
  <w:abstractNum w:abstractNumId="6" w15:restartNumberingAfterBreak="0">
    <w:nsid w:val="5D1E22A3"/>
    <w:multiLevelType w:val="hybridMultilevel"/>
    <w:tmpl w:val="EC260E72"/>
    <w:lvl w:ilvl="0" w:tplc="8392ED52">
      <w:start w:val="3"/>
      <w:numFmt w:val="decimal"/>
      <w:lvlText w:val="%1."/>
      <w:lvlJc w:val="left"/>
      <w:pPr>
        <w:ind w:left="362" w:hanging="240"/>
      </w:pPr>
      <w:rPr>
        <w:rFonts w:ascii="Times New Roman" w:eastAsia="Times New Roman" w:hAnsi="Times New Roman" w:cs="Times New Roman" w:hint="default"/>
        <w:spacing w:val="-2"/>
        <w:w w:val="99"/>
        <w:sz w:val="24"/>
        <w:szCs w:val="24"/>
        <w:lang w:val="pt-PT" w:eastAsia="pt-PT" w:bidi="pt-PT"/>
      </w:rPr>
    </w:lvl>
    <w:lvl w:ilvl="1" w:tplc="EB944964">
      <w:numFmt w:val="bullet"/>
      <w:lvlText w:val="•"/>
      <w:lvlJc w:val="left"/>
      <w:pPr>
        <w:ind w:left="1198" w:hanging="240"/>
      </w:pPr>
      <w:rPr>
        <w:rFonts w:hint="default"/>
        <w:lang w:val="pt-PT" w:eastAsia="pt-PT" w:bidi="pt-PT"/>
      </w:rPr>
    </w:lvl>
    <w:lvl w:ilvl="2" w:tplc="FCA88050">
      <w:numFmt w:val="bullet"/>
      <w:lvlText w:val="•"/>
      <w:lvlJc w:val="left"/>
      <w:pPr>
        <w:ind w:left="2037" w:hanging="240"/>
      </w:pPr>
      <w:rPr>
        <w:rFonts w:hint="default"/>
        <w:lang w:val="pt-PT" w:eastAsia="pt-PT" w:bidi="pt-PT"/>
      </w:rPr>
    </w:lvl>
    <w:lvl w:ilvl="3" w:tplc="DD8A95D6">
      <w:numFmt w:val="bullet"/>
      <w:lvlText w:val="•"/>
      <w:lvlJc w:val="left"/>
      <w:pPr>
        <w:ind w:left="2875" w:hanging="240"/>
      </w:pPr>
      <w:rPr>
        <w:rFonts w:hint="default"/>
        <w:lang w:val="pt-PT" w:eastAsia="pt-PT" w:bidi="pt-PT"/>
      </w:rPr>
    </w:lvl>
    <w:lvl w:ilvl="4" w:tplc="D8EEC154">
      <w:numFmt w:val="bullet"/>
      <w:lvlText w:val="•"/>
      <w:lvlJc w:val="left"/>
      <w:pPr>
        <w:ind w:left="3714" w:hanging="240"/>
      </w:pPr>
      <w:rPr>
        <w:rFonts w:hint="default"/>
        <w:lang w:val="pt-PT" w:eastAsia="pt-PT" w:bidi="pt-PT"/>
      </w:rPr>
    </w:lvl>
    <w:lvl w:ilvl="5" w:tplc="2EC22B86">
      <w:numFmt w:val="bullet"/>
      <w:lvlText w:val="•"/>
      <w:lvlJc w:val="left"/>
      <w:pPr>
        <w:ind w:left="4553" w:hanging="240"/>
      </w:pPr>
      <w:rPr>
        <w:rFonts w:hint="default"/>
        <w:lang w:val="pt-PT" w:eastAsia="pt-PT" w:bidi="pt-PT"/>
      </w:rPr>
    </w:lvl>
    <w:lvl w:ilvl="6" w:tplc="1374B10E">
      <w:numFmt w:val="bullet"/>
      <w:lvlText w:val="•"/>
      <w:lvlJc w:val="left"/>
      <w:pPr>
        <w:ind w:left="5391" w:hanging="240"/>
      </w:pPr>
      <w:rPr>
        <w:rFonts w:hint="default"/>
        <w:lang w:val="pt-PT" w:eastAsia="pt-PT" w:bidi="pt-PT"/>
      </w:rPr>
    </w:lvl>
    <w:lvl w:ilvl="7" w:tplc="D8446076">
      <w:numFmt w:val="bullet"/>
      <w:lvlText w:val="•"/>
      <w:lvlJc w:val="left"/>
      <w:pPr>
        <w:ind w:left="6230" w:hanging="240"/>
      </w:pPr>
      <w:rPr>
        <w:rFonts w:hint="default"/>
        <w:lang w:val="pt-PT" w:eastAsia="pt-PT" w:bidi="pt-PT"/>
      </w:rPr>
    </w:lvl>
    <w:lvl w:ilvl="8" w:tplc="28189B1E">
      <w:numFmt w:val="bullet"/>
      <w:lvlText w:val="•"/>
      <w:lvlJc w:val="left"/>
      <w:pPr>
        <w:ind w:left="7069" w:hanging="240"/>
      </w:pPr>
      <w:rPr>
        <w:rFonts w:hint="default"/>
        <w:lang w:val="pt-PT" w:eastAsia="pt-PT" w:bidi="pt-PT"/>
      </w:rPr>
    </w:lvl>
  </w:abstractNum>
  <w:abstractNum w:abstractNumId="7" w15:restartNumberingAfterBreak="0">
    <w:nsid w:val="615414EB"/>
    <w:multiLevelType w:val="multilevel"/>
    <w:tmpl w:val="DBFA9A58"/>
    <w:lvl w:ilvl="0">
      <w:start w:val="1"/>
      <w:numFmt w:val="lowerLetter"/>
      <w:lvlText w:val="%1."/>
      <w:lvlJc w:val="left"/>
      <w:pPr>
        <w:ind w:left="362" w:hanging="240"/>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122" w:hanging="425"/>
      </w:pPr>
      <w:rPr>
        <w:rFonts w:ascii="Times New Roman" w:eastAsia="Times New Roman" w:hAnsi="Times New Roman" w:cs="Times New Roman" w:hint="default"/>
        <w:color w:val="auto"/>
        <w:spacing w:val="-1"/>
        <w:w w:val="100"/>
        <w:sz w:val="24"/>
        <w:szCs w:val="24"/>
        <w:lang w:val="pt-PT" w:eastAsia="pt-PT" w:bidi="pt-PT"/>
      </w:rPr>
    </w:lvl>
    <w:lvl w:ilvl="2">
      <w:numFmt w:val="bullet"/>
      <w:lvlText w:val="•"/>
      <w:lvlJc w:val="left"/>
      <w:pPr>
        <w:ind w:left="540" w:hanging="425"/>
      </w:pPr>
      <w:rPr>
        <w:rFonts w:hint="default"/>
        <w:lang w:val="pt-PT" w:eastAsia="pt-PT" w:bidi="pt-PT"/>
      </w:rPr>
    </w:lvl>
    <w:lvl w:ilvl="3">
      <w:numFmt w:val="bullet"/>
      <w:lvlText w:val="•"/>
      <w:lvlJc w:val="left"/>
      <w:pPr>
        <w:ind w:left="1565" w:hanging="425"/>
      </w:pPr>
      <w:rPr>
        <w:rFonts w:hint="default"/>
        <w:lang w:val="pt-PT" w:eastAsia="pt-PT" w:bidi="pt-PT"/>
      </w:rPr>
    </w:lvl>
    <w:lvl w:ilvl="4">
      <w:numFmt w:val="bullet"/>
      <w:lvlText w:val="•"/>
      <w:lvlJc w:val="left"/>
      <w:pPr>
        <w:ind w:left="2591" w:hanging="425"/>
      </w:pPr>
      <w:rPr>
        <w:rFonts w:hint="default"/>
        <w:lang w:val="pt-PT" w:eastAsia="pt-PT" w:bidi="pt-PT"/>
      </w:rPr>
    </w:lvl>
    <w:lvl w:ilvl="5">
      <w:numFmt w:val="bullet"/>
      <w:lvlText w:val="•"/>
      <w:lvlJc w:val="left"/>
      <w:pPr>
        <w:ind w:left="3617" w:hanging="425"/>
      </w:pPr>
      <w:rPr>
        <w:rFonts w:hint="default"/>
        <w:lang w:val="pt-PT" w:eastAsia="pt-PT" w:bidi="pt-PT"/>
      </w:rPr>
    </w:lvl>
    <w:lvl w:ilvl="6">
      <w:numFmt w:val="bullet"/>
      <w:lvlText w:val="•"/>
      <w:lvlJc w:val="left"/>
      <w:pPr>
        <w:ind w:left="4643" w:hanging="425"/>
      </w:pPr>
      <w:rPr>
        <w:rFonts w:hint="default"/>
        <w:lang w:val="pt-PT" w:eastAsia="pt-PT" w:bidi="pt-PT"/>
      </w:rPr>
    </w:lvl>
    <w:lvl w:ilvl="7">
      <w:numFmt w:val="bullet"/>
      <w:lvlText w:val="•"/>
      <w:lvlJc w:val="left"/>
      <w:pPr>
        <w:ind w:left="5669" w:hanging="425"/>
      </w:pPr>
      <w:rPr>
        <w:rFonts w:hint="default"/>
        <w:lang w:val="pt-PT" w:eastAsia="pt-PT" w:bidi="pt-PT"/>
      </w:rPr>
    </w:lvl>
    <w:lvl w:ilvl="8">
      <w:numFmt w:val="bullet"/>
      <w:lvlText w:val="•"/>
      <w:lvlJc w:val="left"/>
      <w:pPr>
        <w:ind w:left="6694" w:hanging="425"/>
      </w:pPr>
      <w:rPr>
        <w:rFonts w:hint="default"/>
        <w:lang w:val="pt-PT" w:eastAsia="pt-PT" w:bidi="pt-PT"/>
      </w:rPr>
    </w:lvl>
  </w:abstractNum>
  <w:abstractNum w:abstractNumId="8" w15:restartNumberingAfterBreak="0">
    <w:nsid w:val="64E90AE8"/>
    <w:multiLevelType w:val="hybridMultilevel"/>
    <w:tmpl w:val="1CECF43C"/>
    <w:lvl w:ilvl="0" w:tplc="5D4A5814">
      <w:start w:val="1"/>
      <w:numFmt w:val="decimal"/>
      <w:lvlText w:val="%1."/>
      <w:lvlJc w:val="left"/>
      <w:pPr>
        <w:ind w:left="122" w:hanging="720"/>
      </w:pPr>
      <w:rPr>
        <w:rFonts w:ascii="Times New Roman" w:eastAsia="Times New Roman" w:hAnsi="Times New Roman" w:cs="Times New Roman" w:hint="default"/>
        <w:spacing w:val="-30"/>
        <w:w w:val="99"/>
        <w:sz w:val="24"/>
        <w:szCs w:val="24"/>
        <w:lang w:val="pt-PT" w:eastAsia="pt-PT" w:bidi="pt-PT"/>
      </w:rPr>
    </w:lvl>
    <w:lvl w:ilvl="1" w:tplc="5BFAED50">
      <w:numFmt w:val="bullet"/>
      <w:lvlText w:val="•"/>
      <w:lvlJc w:val="left"/>
      <w:pPr>
        <w:ind w:left="982" w:hanging="720"/>
      </w:pPr>
      <w:rPr>
        <w:rFonts w:hint="default"/>
        <w:lang w:val="pt-PT" w:eastAsia="pt-PT" w:bidi="pt-PT"/>
      </w:rPr>
    </w:lvl>
    <w:lvl w:ilvl="2" w:tplc="D93691C2">
      <w:numFmt w:val="bullet"/>
      <w:lvlText w:val="•"/>
      <w:lvlJc w:val="left"/>
      <w:pPr>
        <w:ind w:left="1845" w:hanging="720"/>
      </w:pPr>
      <w:rPr>
        <w:rFonts w:hint="default"/>
        <w:lang w:val="pt-PT" w:eastAsia="pt-PT" w:bidi="pt-PT"/>
      </w:rPr>
    </w:lvl>
    <w:lvl w:ilvl="3" w:tplc="5EB6FC7A">
      <w:numFmt w:val="bullet"/>
      <w:lvlText w:val="•"/>
      <w:lvlJc w:val="left"/>
      <w:pPr>
        <w:ind w:left="2707" w:hanging="720"/>
      </w:pPr>
      <w:rPr>
        <w:rFonts w:hint="default"/>
        <w:lang w:val="pt-PT" w:eastAsia="pt-PT" w:bidi="pt-PT"/>
      </w:rPr>
    </w:lvl>
    <w:lvl w:ilvl="4" w:tplc="995E5BDC">
      <w:numFmt w:val="bullet"/>
      <w:lvlText w:val="•"/>
      <w:lvlJc w:val="left"/>
      <w:pPr>
        <w:ind w:left="3570" w:hanging="720"/>
      </w:pPr>
      <w:rPr>
        <w:rFonts w:hint="default"/>
        <w:lang w:val="pt-PT" w:eastAsia="pt-PT" w:bidi="pt-PT"/>
      </w:rPr>
    </w:lvl>
    <w:lvl w:ilvl="5" w:tplc="8F0088DA">
      <w:numFmt w:val="bullet"/>
      <w:lvlText w:val="•"/>
      <w:lvlJc w:val="left"/>
      <w:pPr>
        <w:ind w:left="4433" w:hanging="720"/>
      </w:pPr>
      <w:rPr>
        <w:rFonts w:hint="default"/>
        <w:lang w:val="pt-PT" w:eastAsia="pt-PT" w:bidi="pt-PT"/>
      </w:rPr>
    </w:lvl>
    <w:lvl w:ilvl="6" w:tplc="B9AEE0F8">
      <w:numFmt w:val="bullet"/>
      <w:lvlText w:val="•"/>
      <w:lvlJc w:val="left"/>
      <w:pPr>
        <w:ind w:left="5295" w:hanging="720"/>
      </w:pPr>
      <w:rPr>
        <w:rFonts w:hint="default"/>
        <w:lang w:val="pt-PT" w:eastAsia="pt-PT" w:bidi="pt-PT"/>
      </w:rPr>
    </w:lvl>
    <w:lvl w:ilvl="7" w:tplc="39167282">
      <w:numFmt w:val="bullet"/>
      <w:lvlText w:val="•"/>
      <w:lvlJc w:val="left"/>
      <w:pPr>
        <w:ind w:left="6158" w:hanging="720"/>
      </w:pPr>
      <w:rPr>
        <w:rFonts w:hint="default"/>
        <w:lang w:val="pt-PT" w:eastAsia="pt-PT" w:bidi="pt-PT"/>
      </w:rPr>
    </w:lvl>
    <w:lvl w:ilvl="8" w:tplc="4956E21C">
      <w:numFmt w:val="bullet"/>
      <w:lvlText w:val="•"/>
      <w:lvlJc w:val="left"/>
      <w:pPr>
        <w:ind w:left="7021" w:hanging="720"/>
      </w:pPr>
      <w:rPr>
        <w:rFonts w:hint="default"/>
        <w:lang w:val="pt-PT" w:eastAsia="pt-PT" w:bidi="pt-PT"/>
      </w:rPr>
    </w:lvl>
  </w:abstractNum>
  <w:abstractNum w:abstractNumId="9" w15:restartNumberingAfterBreak="0">
    <w:nsid w:val="6C985981"/>
    <w:multiLevelType w:val="hybridMultilevel"/>
    <w:tmpl w:val="5A108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637F02"/>
    <w:multiLevelType w:val="hybridMultilevel"/>
    <w:tmpl w:val="E5BA9A16"/>
    <w:lvl w:ilvl="0" w:tplc="80FA6CB6">
      <w:start w:val="10"/>
      <w:numFmt w:val="lowerLetter"/>
      <w:lvlText w:val="%1."/>
      <w:lvlJc w:val="left"/>
      <w:pPr>
        <w:ind w:left="482" w:hanging="360"/>
      </w:pPr>
      <w:rPr>
        <w:rFonts w:hint="default"/>
      </w:r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num w:numId="1">
    <w:abstractNumId w:val="6"/>
  </w:num>
  <w:num w:numId="2">
    <w:abstractNumId w:val="0"/>
  </w:num>
  <w:num w:numId="3">
    <w:abstractNumId w:val="5"/>
  </w:num>
  <w:num w:numId="4">
    <w:abstractNumId w:val="7"/>
  </w:num>
  <w:num w:numId="5">
    <w:abstractNumId w:val="8"/>
  </w:num>
  <w:num w:numId="6">
    <w:abstractNumId w:val="2"/>
  </w:num>
  <w:num w:numId="7">
    <w:abstractNumId w:val="1"/>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64"/>
    <w:rsid w:val="00053BA9"/>
    <w:rsid w:val="00105D32"/>
    <w:rsid w:val="001540CE"/>
    <w:rsid w:val="001D08D4"/>
    <w:rsid w:val="00243965"/>
    <w:rsid w:val="002B48D1"/>
    <w:rsid w:val="00301AB5"/>
    <w:rsid w:val="0035211D"/>
    <w:rsid w:val="003675F4"/>
    <w:rsid w:val="00377464"/>
    <w:rsid w:val="00394007"/>
    <w:rsid w:val="003972CE"/>
    <w:rsid w:val="003D0466"/>
    <w:rsid w:val="003D4D0E"/>
    <w:rsid w:val="00417B2C"/>
    <w:rsid w:val="00435B57"/>
    <w:rsid w:val="00474F42"/>
    <w:rsid w:val="00486198"/>
    <w:rsid w:val="004D0B98"/>
    <w:rsid w:val="004E2E3C"/>
    <w:rsid w:val="004E34ED"/>
    <w:rsid w:val="004F1DE8"/>
    <w:rsid w:val="005041DD"/>
    <w:rsid w:val="00514C43"/>
    <w:rsid w:val="00523A30"/>
    <w:rsid w:val="00541260"/>
    <w:rsid w:val="005D7B9F"/>
    <w:rsid w:val="0062781C"/>
    <w:rsid w:val="00684316"/>
    <w:rsid w:val="00696B42"/>
    <w:rsid w:val="006B597F"/>
    <w:rsid w:val="006B7DFD"/>
    <w:rsid w:val="006D67C3"/>
    <w:rsid w:val="007A5EFC"/>
    <w:rsid w:val="007E3497"/>
    <w:rsid w:val="0080236E"/>
    <w:rsid w:val="0080570A"/>
    <w:rsid w:val="008305D6"/>
    <w:rsid w:val="00902A6A"/>
    <w:rsid w:val="00922910"/>
    <w:rsid w:val="00984012"/>
    <w:rsid w:val="0098654D"/>
    <w:rsid w:val="00A45266"/>
    <w:rsid w:val="00AD6C3D"/>
    <w:rsid w:val="00B75783"/>
    <w:rsid w:val="00B9784F"/>
    <w:rsid w:val="00BB583F"/>
    <w:rsid w:val="00BC1C1F"/>
    <w:rsid w:val="00BC585E"/>
    <w:rsid w:val="00C16AE7"/>
    <w:rsid w:val="00D25FEC"/>
    <w:rsid w:val="00D317CA"/>
    <w:rsid w:val="00D71580"/>
    <w:rsid w:val="00D779FE"/>
    <w:rsid w:val="00DB0BC0"/>
    <w:rsid w:val="00DB7EED"/>
    <w:rsid w:val="00EC7506"/>
    <w:rsid w:val="00F7318B"/>
    <w:rsid w:val="00F83B4C"/>
    <w:rsid w:val="00F86386"/>
    <w:rsid w:val="00FA1551"/>
    <w:rsid w:val="00FD1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2E89"/>
  <w15:docId w15:val="{320CCCEB-F632-46DE-A846-D5B0C3B7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376" w:hanging="25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35B57"/>
    <w:pPr>
      <w:tabs>
        <w:tab w:val="center" w:pos="4252"/>
        <w:tab w:val="right" w:pos="8504"/>
      </w:tabs>
    </w:pPr>
  </w:style>
  <w:style w:type="character" w:customStyle="1" w:styleId="CabealhoChar">
    <w:name w:val="Cabeçalho Char"/>
    <w:basedOn w:val="Fontepargpadro"/>
    <w:link w:val="Cabealho"/>
    <w:uiPriority w:val="99"/>
    <w:rsid w:val="00435B57"/>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435B57"/>
    <w:pPr>
      <w:tabs>
        <w:tab w:val="center" w:pos="4252"/>
        <w:tab w:val="right" w:pos="8504"/>
      </w:tabs>
    </w:pPr>
  </w:style>
  <w:style w:type="character" w:customStyle="1" w:styleId="RodapChar">
    <w:name w:val="Rodapé Char"/>
    <w:basedOn w:val="Fontepargpadro"/>
    <w:link w:val="Rodap"/>
    <w:uiPriority w:val="99"/>
    <w:rsid w:val="00435B57"/>
    <w:rPr>
      <w:rFonts w:ascii="Times New Roman" w:eastAsia="Times New Roman" w:hAnsi="Times New Roman" w:cs="Times New Roman"/>
      <w:lang w:val="pt-PT" w:eastAsia="pt-PT" w:bidi="pt-PT"/>
    </w:rPr>
  </w:style>
  <w:style w:type="character" w:styleId="nfase">
    <w:name w:val="Emphasis"/>
    <w:basedOn w:val="Fontepargpadro"/>
    <w:uiPriority w:val="20"/>
    <w:qFormat/>
    <w:rsid w:val="00394007"/>
    <w:rPr>
      <w:i/>
      <w:iCs/>
    </w:rPr>
  </w:style>
  <w:style w:type="paragraph" w:styleId="NormalWeb">
    <w:name w:val="Normal (Web)"/>
    <w:basedOn w:val="Normal"/>
    <w:uiPriority w:val="99"/>
    <w:semiHidden/>
    <w:unhideWhenUsed/>
    <w:rsid w:val="00BB583F"/>
    <w:pPr>
      <w:widowControl/>
      <w:autoSpaceDE/>
      <w:autoSpaceDN/>
      <w:spacing w:before="100" w:beforeAutospacing="1" w:after="100" w:afterAutospacing="1"/>
    </w:pPr>
    <w:rPr>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116">
      <w:bodyDiv w:val="1"/>
      <w:marLeft w:val="0"/>
      <w:marRight w:val="0"/>
      <w:marTop w:val="0"/>
      <w:marBottom w:val="0"/>
      <w:divBdr>
        <w:top w:val="none" w:sz="0" w:space="0" w:color="auto"/>
        <w:left w:val="none" w:sz="0" w:space="0" w:color="auto"/>
        <w:bottom w:val="none" w:sz="0" w:space="0" w:color="auto"/>
        <w:right w:val="none" w:sz="0" w:space="0" w:color="auto"/>
      </w:divBdr>
    </w:div>
    <w:div w:id="500196497">
      <w:bodyDiv w:val="1"/>
      <w:marLeft w:val="0"/>
      <w:marRight w:val="0"/>
      <w:marTop w:val="0"/>
      <w:marBottom w:val="0"/>
      <w:divBdr>
        <w:top w:val="none" w:sz="0" w:space="0" w:color="auto"/>
        <w:left w:val="none" w:sz="0" w:space="0" w:color="auto"/>
        <w:bottom w:val="none" w:sz="0" w:space="0" w:color="auto"/>
        <w:right w:val="none" w:sz="0" w:space="0" w:color="auto"/>
      </w:divBdr>
    </w:div>
    <w:div w:id="901255207">
      <w:bodyDiv w:val="1"/>
      <w:marLeft w:val="0"/>
      <w:marRight w:val="0"/>
      <w:marTop w:val="0"/>
      <w:marBottom w:val="0"/>
      <w:divBdr>
        <w:top w:val="none" w:sz="0" w:space="0" w:color="auto"/>
        <w:left w:val="none" w:sz="0" w:space="0" w:color="auto"/>
        <w:bottom w:val="none" w:sz="0" w:space="0" w:color="auto"/>
        <w:right w:val="none" w:sz="0" w:space="0" w:color="auto"/>
      </w:divBdr>
    </w:div>
    <w:div w:id="1019769636">
      <w:bodyDiv w:val="1"/>
      <w:marLeft w:val="0"/>
      <w:marRight w:val="0"/>
      <w:marTop w:val="0"/>
      <w:marBottom w:val="0"/>
      <w:divBdr>
        <w:top w:val="none" w:sz="0" w:space="0" w:color="auto"/>
        <w:left w:val="none" w:sz="0" w:space="0" w:color="auto"/>
        <w:bottom w:val="none" w:sz="0" w:space="0" w:color="auto"/>
        <w:right w:val="none" w:sz="0" w:space="0" w:color="auto"/>
      </w:divBdr>
    </w:div>
    <w:div w:id="1461873067">
      <w:bodyDiv w:val="1"/>
      <w:marLeft w:val="0"/>
      <w:marRight w:val="0"/>
      <w:marTop w:val="0"/>
      <w:marBottom w:val="0"/>
      <w:divBdr>
        <w:top w:val="none" w:sz="0" w:space="0" w:color="auto"/>
        <w:left w:val="none" w:sz="0" w:space="0" w:color="auto"/>
        <w:bottom w:val="none" w:sz="0" w:space="0" w:color="auto"/>
        <w:right w:val="none" w:sz="0" w:space="0" w:color="auto"/>
      </w:divBdr>
    </w:div>
    <w:div w:id="1491671741">
      <w:bodyDiv w:val="1"/>
      <w:marLeft w:val="0"/>
      <w:marRight w:val="0"/>
      <w:marTop w:val="0"/>
      <w:marBottom w:val="0"/>
      <w:divBdr>
        <w:top w:val="none" w:sz="0" w:space="0" w:color="auto"/>
        <w:left w:val="none" w:sz="0" w:space="0" w:color="auto"/>
        <w:bottom w:val="none" w:sz="0" w:space="0" w:color="auto"/>
        <w:right w:val="none" w:sz="0" w:space="0" w:color="auto"/>
      </w:divBdr>
    </w:div>
    <w:div w:id="1571698467">
      <w:bodyDiv w:val="1"/>
      <w:marLeft w:val="0"/>
      <w:marRight w:val="0"/>
      <w:marTop w:val="0"/>
      <w:marBottom w:val="0"/>
      <w:divBdr>
        <w:top w:val="none" w:sz="0" w:space="0" w:color="auto"/>
        <w:left w:val="none" w:sz="0" w:space="0" w:color="auto"/>
        <w:bottom w:val="none" w:sz="0" w:space="0" w:color="auto"/>
        <w:right w:val="none" w:sz="0" w:space="0" w:color="auto"/>
      </w:divBdr>
    </w:div>
    <w:div w:id="2022194980">
      <w:bodyDiv w:val="1"/>
      <w:marLeft w:val="0"/>
      <w:marRight w:val="0"/>
      <w:marTop w:val="0"/>
      <w:marBottom w:val="0"/>
      <w:divBdr>
        <w:top w:val="none" w:sz="0" w:space="0" w:color="auto"/>
        <w:left w:val="none" w:sz="0" w:space="0" w:color="auto"/>
        <w:bottom w:val="none" w:sz="0" w:space="0" w:color="auto"/>
        <w:right w:val="none" w:sz="0" w:space="0" w:color="auto"/>
      </w:divBdr>
    </w:div>
    <w:div w:id="207500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F2F4-C01B-4A45-8962-F5364BAD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Klermann Caldas Neto</cp:lastModifiedBy>
  <cp:revision>2</cp:revision>
  <dcterms:created xsi:type="dcterms:W3CDTF">2022-03-09T19:15:00Z</dcterms:created>
  <dcterms:modified xsi:type="dcterms:W3CDTF">2022-03-09T19:15:00Z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PDFium</vt:lpwstr>
  </property>
  <property fmtid="{D5CDD505-2E9C-101B-9397-08002B2CF9AE}" pid="4" name="LastSaved">
    <vt:filetime>2020-03-04T00:00:00Z</vt:filetime>
  </property>
</Properties>
</file>