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5E66" w14:textId="77777777" w:rsidR="00B76F3A" w:rsidRPr="008C15A2" w:rsidRDefault="00B76F3A" w:rsidP="00B76F3A">
      <w:pPr>
        <w:pStyle w:val="Ttulo1"/>
        <w:tabs>
          <w:tab w:val="left" w:pos="0"/>
        </w:tabs>
        <w:spacing w:line="360" w:lineRule="auto"/>
        <w:ind w:left="11" w:hanging="11"/>
        <w:jc w:val="center"/>
        <w:rPr>
          <w:rFonts w:ascii="Arial" w:hAnsi="Arial" w:cs="Arial"/>
          <w:sz w:val="22"/>
          <w:szCs w:val="22"/>
          <w:lang w:val="pt-BR"/>
        </w:rPr>
      </w:pPr>
      <w:r w:rsidRPr="008C15A2">
        <w:rPr>
          <w:rFonts w:ascii="Arial" w:hAnsi="Arial" w:cs="Arial"/>
          <w:sz w:val="22"/>
          <w:szCs w:val="22"/>
        </w:rPr>
        <w:t xml:space="preserve">POLÍTICA DE </w:t>
      </w:r>
      <w:r>
        <w:rPr>
          <w:rFonts w:ascii="Arial" w:hAnsi="Arial" w:cs="Arial"/>
          <w:sz w:val="22"/>
          <w:szCs w:val="22"/>
        </w:rPr>
        <w:t>NEGOCIAÇÃO</w:t>
      </w:r>
      <w:r w:rsidRPr="008C15A2">
        <w:rPr>
          <w:rFonts w:ascii="Arial" w:hAnsi="Arial" w:cs="Arial"/>
          <w:sz w:val="22"/>
          <w:szCs w:val="22"/>
        </w:rPr>
        <w:t xml:space="preserve"> DE VALORES MOBILIÁRIOS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POR COLABORADORES</w:t>
      </w:r>
      <w:r>
        <w:rPr>
          <w:rFonts w:ascii="Arial" w:hAnsi="Arial" w:cs="Arial"/>
          <w:sz w:val="22"/>
          <w:szCs w:val="22"/>
          <w:lang w:val="pt-BR"/>
        </w:rPr>
        <w:t xml:space="preserve"> E PELA SOCIEDADE</w:t>
      </w:r>
    </w:p>
    <w:p w14:paraId="2EB64274" w14:textId="77777777" w:rsidR="00B76F3A" w:rsidRPr="008C15A2" w:rsidRDefault="00B76F3A" w:rsidP="00B76F3A">
      <w:pPr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</w:rPr>
      </w:pPr>
    </w:p>
    <w:p w14:paraId="212015FD" w14:textId="796657DB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>1.</w:t>
      </w:r>
      <w:r>
        <w:rPr>
          <w:rFonts w:ascii="Arial" w:hAnsi="Arial" w:cs="Arial"/>
          <w:sz w:val="22"/>
          <w:szCs w:val="22"/>
          <w:lang w:val="pt-BR"/>
        </w:rPr>
        <w:tab/>
        <w:t>Esta</w:t>
      </w:r>
      <w:r w:rsidRPr="008C15A2">
        <w:rPr>
          <w:rFonts w:ascii="Arial" w:hAnsi="Arial" w:cs="Arial"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  <w:lang w:val="pt-BR"/>
        </w:rPr>
        <w:t>política</w:t>
      </w:r>
      <w:r w:rsidRPr="008C15A2">
        <w:rPr>
          <w:rFonts w:ascii="Arial" w:hAnsi="Arial" w:cs="Arial"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  <w:lang w:val="pt-BR"/>
        </w:rPr>
        <w:t>tem como objetivo definir as regras e procedimentos a serem observados pelos Colaboradores e pelas Pessoas Vinculadas (conforme abaixo definido)</w:t>
      </w:r>
      <w:r>
        <w:rPr>
          <w:rFonts w:ascii="Arial" w:hAnsi="Arial" w:cs="Arial"/>
          <w:sz w:val="22"/>
          <w:szCs w:val="22"/>
          <w:lang w:val="pt-BR"/>
        </w:rPr>
        <w:t xml:space="preserve">, no âmbito da </w:t>
      </w:r>
      <w:r>
        <w:rPr>
          <w:rFonts w:ascii="Arial" w:hAnsi="Arial" w:cs="Arial"/>
          <w:b/>
          <w:bCs/>
          <w:sz w:val="22"/>
          <w:szCs w:val="22"/>
          <w:lang w:val="pt-BR"/>
        </w:rPr>
        <w:t>ERFOLG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8C15A2">
        <w:rPr>
          <w:rFonts w:ascii="Arial" w:hAnsi="Arial" w:cs="Arial"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para </w:t>
      </w:r>
      <w:r>
        <w:rPr>
          <w:rFonts w:ascii="Arial" w:hAnsi="Arial" w:cs="Arial"/>
          <w:sz w:val="22"/>
          <w:szCs w:val="22"/>
        </w:rPr>
        <w:t>negociação</w:t>
      </w:r>
      <w:r w:rsidRPr="008C15A2">
        <w:rPr>
          <w:rFonts w:ascii="Arial" w:hAnsi="Arial" w:cs="Arial"/>
          <w:sz w:val="22"/>
          <w:szCs w:val="22"/>
        </w:rPr>
        <w:t xml:space="preserve"> de valores mobiliários (a “</w:t>
      </w:r>
      <w:r w:rsidRPr="008C15A2">
        <w:rPr>
          <w:rFonts w:ascii="Arial" w:hAnsi="Arial" w:cs="Arial"/>
          <w:b/>
          <w:sz w:val="22"/>
          <w:szCs w:val="22"/>
          <w:u w:val="single"/>
        </w:rPr>
        <w:t xml:space="preserve">Política de </w:t>
      </w:r>
      <w:r>
        <w:rPr>
          <w:rFonts w:ascii="Arial" w:hAnsi="Arial" w:cs="Arial"/>
          <w:b/>
          <w:sz w:val="22"/>
          <w:szCs w:val="22"/>
          <w:u w:val="single"/>
        </w:rPr>
        <w:t>Negociação</w:t>
      </w:r>
      <w:r w:rsidRPr="008C15A2">
        <w:rPr>
          <w:rFonts w:ascii="Arial" w:hAnsi="Arial" w:cs="Arial"/>
          <w:b/>
          <w:sz w:val="22"/>
          <w:szCs w:val="22"/>
          <w:u w:val="single"/>
        </w:rPr>
        <w:t xml:space="preserve"> de Valores Mobiliários</w:t>
      </w:r>
      <w:r w:rsidRPr="008C15A2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Por Colaboradores</w:t>
      </w:r>
      <w:r w:rsidRPr="008C15A2">
        <w:rPr>
          <w:rFonts w:ascii="Arial" w:hAnsi="Arial" w:cs="Arial"/>
          <w:sz w:val="22"/>
          <w:szCs w:val="22"/>
        </w:rPr>
        <w:t>”)</w:t>
      </w:r>
      <w:r w:rsidRPr="008C15A2">
        <w:rPr>
          <w:rFonts w:ascii="Arial" w:hAnsi="Arial" w:cs="Arial"/>
          <w:sz w:val="22"/>
          <w:szCs w:val="22"/>
          <w:lang w:val="pt-BR"/>
        </w:rPr>
        <w:t>, de forma a orientá-los com relação aos investimentos pessoais realizados em tais ativos financeiros</w:t>
      </w:r>
      <w:r w:rsidRPr="008C15A2">
        <w:rPr>
          <w:rFonts w:ascii="Arial" w:hAnsi="Arial" w:cs="Arial"/>
          <w:sz w:val="22"/>
          <w:szCs w:val="22"/>
        </w:rPr>
        <w:t>.</w:t>
      </w:r>
    </w:p>
    <w:p w14:paraId="66F84713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5DCB9EA2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2.</w:t>
      </w:r>
      <w:r w:rsidRPr="008C15A2">
        <w:rPr>
          <w:rFonts w:ascii="Arial" w:hAnsi="Arial" w:cs="Arial"/>
          <w:sz w:val="22"/>
          <w:szCs w:val="22"/>
        </w:rPr>
        <w:tab/>
        <w:t>As disposições dest</w:t>
      </w:r>
      <w:r w:rsidRPr="008C15A2">
        <w:rPr>
          <w:rFonts w:ascii="Arial" w:hAnsi="Arial" w:cs="Arial"/>
          <w:sz w:val="22"/>
          <w:szCs w:val="22"/>
          <w:lang w:val="pt-BR"/>
        </w:rPr>
        <w:t>a política</w:t>
      </w:r>
      <w:r w:rsidRPr="008C15A2">
        <w:rPr>
          <w:rFonts w:ascii="Arial" w:hAnsi="Arial" w:cs="Arial"/>
          <w:sz w:val="22"/>
          <w:szCs w:val="22"/>
        </w:rPr>
        <w:t xml:space="preserve"> devem ser observadas em todas as negociações efetuadas </w:t>
      </w:r>
      <w:r>
        <w:rPr>
          <w:rFonts w:ascii="Arial" w:hAnsi="Arial" w:cs="Arial"/>
          <w:sz w:val="22"/>
          <w:szCs w:val="22"/>
          <w:lang w:val="pt-BR"/>
        </w:rPr>
        <w:t xml:space="preserve">pela própria Sociedade ou, em relação aos seus recursos pessoais, </w:t>
      </w:r>
      <w:r w:rsidRPr="008C15A2">
        <w:rPr>
          <w:rFonts w:ascii="Arial" w:hAnsi="Arial" w:cs="Arial"/>
          <w:sz w:val="22"/>
          <w:szCs w:val="22"/>
        </w:rPr>
        <w:t xml:space="preserve">por qualquer um dos Colaboradores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8C15A2">
        <w:rPr>
          <w:rFonts w:ascii="Arial" w:hAnsi="Arial" w:cs="Arial"/>
          <w:sz w:val="22"/>
          <w:szCs w:val="22"/>
        </w:rPr>
        <w:t xml:space="preserve"> mercado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8C15A2">
        <w:rPr>
          <w:rFonts w:ascii="Arial" w:hAnsi="Arial" w:cs="Arial"/>
          <w:sz w:val="22"/>
          <w:szCs w:val="22"/>
        </w:rPr>
        <w:t xml:space="preserve"> financeiro e de capitais, bem como por seu cônjuge, companheiro, descendente ou ascendente, além de qualquer pessoa jurídica na qual os Colaboradores ou qualquer pessoa física a eles vinculadas possuam participação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(“</w:t>
      </w:r>
      <w:r w:rsidRPr="008C15A2">
        <w:rPr>
          <w:rFonts w:ascii="Arial" w:hAnsi="Arial" w:cs="Arial"/>
          <w:b/>
          <w:sz w:val="22"/>
          <w:szCs w:val="22"/>
          <w:u w:val="single"/>
          <w:lang w:val="pt-BR"/>
        </w:rPr>
        <w:t>Pessoas Vinculadas</w:t>
      </w:r>
      <w:r w:rsidRPr="008C15A2">
        <w:rPr>
          <w:rFonts w:ascii="Arial" w:hAnsi="Arial" w:cs="Arial"/>
          <w:sz w:val="22"/>
          <w:szCs w:val="22"/>
          <w:lang w:val="pt-BR"/>
        </w:rPr>
        <w:t>”)</w:t>
      </w:r>
      <w:r w:rsidRPr="008C15A2">
        <w:rPr>
          <w:rFonts w:ascii="Arial" w:hAnsi="Arial" w:cs="Arial"/>
          <w:sz w:val="22"/>
          <w:szCs w:val="22"/>
        </w:rPr>
        <w:t>.</w:t>
      </w:r>
    </w:p>
    <w:p w14:paraId="67919AEB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57F1230E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3.</w:t>
      </w:r>
      <w:r w:rsidRPr="008C15A2">
        <w:rPr>
          <w:rFonts w:ascii="Arial" w:hAnsi="Arial" w:cs="Arial"/>
          <w:sz w:val="22"/>
          <w:szCs w:val="22"/>
        </w:rPr>
        <w:tab/>
        <w:t xml:space="preserve">O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Diretor </w:t>
      </w:r>
      <w:r w:rsidRPr="008C15A2">
        <w:rPr>
          <w:rFonts w:ascii="Arial" w:hAnsi="Arial" w:cs="Arial"/>
          <w:sz w:val="22"/>
          <w:szCs w:val="22"/>
        </w:rPr>
        <w:t xml:space="preserve">de Compliance visará promover a aplicação </w:t>
      </w:r>
      <w:r>
        <w:rPr>
          <w:rFonts w:ascii="Arial" w:hAnsi="Arial" w:cs="Arial"/>
          <w:sz w:val="22"/>
          <w:szCs w:val="22"/>
          <w:lang w:val="pt-BR"/>
        </w:rPr>
        <w:t>desta</w:t>
      </w:r>
      <w:r w:rsidRPr="008C15A2">
        <w:rPr>
          <w:rFonts w:ascii="Arial" w:hAnsi="Arial" w:cs="Arial"/>
          <w:sz w:val="22"/>
          <w:szCs w:val="22"/>
        </w:rPr>
        <w:t xml:space="preserve"> Política de </w:t>
      </w:r>
      <w:r>
        <w:rPr>
          <w:rFonts w:ascii="Arial" w:hAnsi="Arial" w:cs="Arial"/>
          <w:sz w:val="22"/>
          <w:szCs w:val="22"/>
        </w:rPr>
        <w:t>Negociação</w:t>
      </w:r>
      <w:r w:rsidRPr="008C15A2">
        <w:rPr>
          <w:rFonts w:ascii="Arial" w:hAnsi="Arial" w:cs="Arial"/>
          <w:sz w:val="22"/>
          <w:szCs w:val="22"/>
        </w:rPr>
        <w:t xml:space="preserve"> de Valores Mobiliários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por Colaboradores</w:t>
      </w:r>
      <w:r w:rsidRPr="008C15A2">
        <w:rPr>
          <w:rFonts w:ascii="Arial" w:hAnsi="Arial" w:cs="Arial"/>
          <w:sz w:val="22"/>
          <w:szCs w:val="22"/>
        </w:rPr>
        <w:t xml:space="preserve">, bem como o </w:t>
      </w:r>
      <w:r w:rsidRPr="008C15A2">
        <w:rPr>
          <w:rFonts w:ascii="Arial" w:hAnsi="Arial" w:cs="Arial"/>
          <w:bCs/>
          <w:sz w:val="22"/>
          <w:szCs w:val="22"/>
        </w:rPr>
        <w:t xml:space="preserve">controle, a supervisão e a aprovação de exceções. É </w:t>
      </w:r>
      <w:r w:rsidRPr="008C15A2">
        <w:rPr>
          <w:rFonts w:ascii="Arial" w:hAnsi="Arial" w:cs="Arial"/>
          <w:bCs/>
          <w:sz w:val="22"/>
          <w:szCs w:val="22"/>
          <w:lang w:val="pt-BR"/>
        </w:rPr>
        <w:t>sua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</w:t>
      </w:r>
      <w:r w:rsidRPr="008C15A2">
        <w:rPr>
          <w:rFonts w:ascii="Arial" w:hAnsi="Arial" w:cs="Arial"/>
          <w:bCs/>
          <w:sz w:val="22"/>
          <w:szCs w:val="22"/>
        </w:rPr>
        <w:t>responsabilidade</w:t>
      </w:r>
      <w:r w:rsidRPr="008C15A2">
        <w:rPr>
          <w:rFonts w:ascii="Arial" w:hAnsi="Arial" w:cs="Arial"/>
          <w:sz w:val="22"/>
          <w:szCs w:val="22"/>
        </w:rPr>
        <w:t xml:space="preserve"> assegurar a implementação de mecanismos eficientes capazes de resguardar a observância das regras acerca de investimentos pessoais dos Colaboradores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, bem como a identificação de quaisquer infrações às regras aprovadas </w:t>
      </w:r>
      <w:r>
        <w:rPr>
          <w:rFonts w:ascii="Arial" w:hAnsi="Arial" w:cs="Arial"/>
          <w:sz w:val="22"/>
          <w:szCs w:val="22"/>
          <w:lang w:val="pt-BR"/>
        </w:rPr>
        <w:t>nesta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</w:t>
      </w:r>
      <w:r w:rsidRPr="008C15A2">
        <w:rPr>
          <w:rFonts w:ascii="Arial" w:hAnsi="Arial" w:cs="Arial"/>
          <w:sz w:val="22"/>
          <w:szCs w:val="22"/>
          <w:lang w:val="pt-BR"/>
        </w:rPr>
        <w:t>olítica.</w:t>
      </w:r>
    </w:p>
    <w:p w14:paraId="58DAA953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579EBBCE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4.</w:t>
      </w:r>
      <w:r w:rsidRPr="008C15A2">
        <w:rPr>
          <w:rFonts w:ascii="Arial" w:hAnsi="Arial" w:cs="Arial"/>
          <w:sz w:val="22"/>
          <w:szCs w:val="22"/>
        </w:rPr>
        <w:tab/>
        <w:t xml:space="preserve">Os Colaboradores, ao anuir com e aderir </w:t>
      </w:r>
      <w:r>
        <w:rPr>
          <w:rFonts w:ascii="Arial" w:hAnsi="Arial" w:cs="Arial"/>
          <w:sz w:val="22"/>
          <w:szCs w:val="22"/>
          <w:lang w:val="pt-BR"/>
        </w:rPr>
        <w:t>a esta</w:t>
      </w:r>
      <w:r w:rsidRPr="008C15A2">
        <w:rPr>
          <w:rFonts w:ascii="Arial" w:hAnsi="Arial" w:cs="Arial"/>
          <w:sz w:val="22"/>
          <w:szCs w:val="22"/>
        </w:rPr>
        <w:t xml:space="preserve"> Política de </w:t>
      </w:r>
      <w:r>
        <w:rPr>
          <w:rFonts w:ascii="Arial" w:hAnsi="Arial" w:cs="Arial"/>
          <w:sz w:val="22"/>
          <w:szCs w:val="22"/>
          <w:lang w:val="pt-BR"/>
        </w:rPr>
        <w:t xml:space="preserve">Negociação </w:t>
      </w:r>
      <w:r w:rsidRPr="008C15A2">
        <w:rPr>
          <w:rFonts w:ascii="Arial" w:hAnsi="Arial" w:cs="Arial"/>
          <w:sz w:val="22"/>
          <w:szCs w:val="22"/>
        </w:rPr>
        <w:t>de Valores Mobiliários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por Colaboradores</w:t>
      </w:r>
      <w:r w:rsidRPr="008C15A2">
        <w:rPr>
          <w:rFonts w:ascii="Arial" w:hAnsi="Arial" w:cs="Arial"/>
          <w:sz w:val="22"/>
          <w:szCs w:val="22"/>
        </w:rPr>
        <w:t>, reconhecem e concordam que sua</w:t>
      </w:r>
      <w:r w:rsidRPr="008C15A2">
        <w:rPr>
          <w:rFonts w:ascii="Arial" w:hAnsi="Arial" w:cs="Arial"/>
          <w:sz w:val="22"/>
          <w:szCs w:val="22"/>
          <w:lang w:val="pt-BR"/>
        </w:rPr>
        <w:t>s</w:t>
      </w:r>
      <w:r w:rsidRPr="008C15A2">
        <w:rPr>
          <w:rFonts w:ascii="Arial" w:hAnsi="Arial" w:cs="Arial"/>
          <w:sz w:val="22"/>
          <w:szCs w:val="22"/>
        </w:rPr>
        <w:t xml:space="preserve"> tomada</w:t>
      </w:r>
      <w:r w:rsidRPr="008C15A2">
        <w:rPr>
          <w:rFonts w:ascii="Arial" w:hAnsi="Arial" w:cs="Arial"/>
          <w:sz w:val="22"/>
          <w:szCs w:val="22"/>
          <w:lang w:val="pt-BR"/>
        </w:rPr>
        <w:t>s</w:t>
      </w:r>
      <w:r w:rsidRPr="008C15A2">
        <w:rPr>
          <w:rFonts w:ascii="Arial" w:hAnsi="Arial" w:cs="Arial"/>
          <w:sz w:val="22"/>
          <w:szCs w:val="22"/>
        </w:rPr>
        <w:t xml:space="preserve"> de decisão em relação a investimentos pessoais no mercado financeiro e de capitais</w:t>
      </w:r>
      <w:r w:rsidRPr="008C15A2">
        <w:rPr>
          <w:rFonts w:ascii="Arial" w:hAnsi="Arial" w:cs="Arial"/>
          <w:sz w:val="22"/>
          <w:szCs w:val="22"/>
          <w:lang w:val="pt-BR"/>
        </w:rPr>
        <w:t>, bem como de suas Partes Relacionadas,</w:t>
      </w:r>
      <w:r w:rsidRPr="008C15A2">
        <w:rPr>
          <w:rFonts w:ascii="Arial" w:hAnsi="Arial" w:cs="Arial"/>
          <w:sz w:val="22"/>
          <w:szCs w:val="22"/>
        </w:rPr>
        <w:t xml:space="preserve"> estar</w:t>
      </w:r>
      <w:proofErr w:type="spellStart"/>
      <w:r w:rsidRPr="008C15A2">
        <w:rPr>
          <w:rFonts w:ascii="Arial" w:hAnsi="Arial" w:cs="Arial"/>
          <w:sz w:val="22"/>
          <w:szCs w:val="22"/>
          <w:lang w:val="pt-BR"/>
        </w:rPr>
        <w:t>ão</w:t>
      </w:r>
      <w:proofErr w:type="spellEnd"/>
      <w:r w:rsidRPr="008C15A2">
        <w:rPr>
          <w:rFonts w:ascii="Arial" w:hAnsi="Arial" w:cs="Arial"/>
          <w:sz w:val="22"/>
          <w:szCs w:val="22"/>
        </w:rPr>
        <w:t xml:space="preserve"> limitada</w:t>
      </w:r>
      <w:r w:rsidRPr="008C15A2">
        <w:rPr>
          <w:rFonts w:ascii="Arial" w:hAnsi="Arial" w:cs="Arial"/>
          <w:sz w:val="22"/>
          <w:szCs w:val="22"/>
          <w:lang w:val="pt-BR"/>
        </w:rPr>
        <w:t>s</w:t>
      </w:r>
      <w:r w:rsidRPr="008C15A2">
        <w:rPr>
          <w:rFonts w:ascii="Arial" w:hAnsi="Arial" w:cs="Arial"/>
          <w:sz w:val="22"/>
          <w:szCs w:val="22"/>
        </w:rPr>
        <w:t xml:space="preserve"> e dever</w:t>
      </w:r>
      <w:proofErr w:type="spellStart"/>
      <w:r w:rsidRPr="008C15A2">
        <w:rPr>
          <w:rFonts w:ascii="Arial" w:hAnsi="Arial" w:cs="Arial"/>
          <w:sz w:val="22"/>
          <w:szCs w:val="22"/>
          <w:lang w:val="pt-BR"/>
        </w:rPr>
        <w:t>ão</w:t>
      </w:r>
      <w:proofErr w:type="spellEnd"/>
      <w:r w:rsidRPr="008C15A2">
        <w:rPr>
          <w:rFonts w:ascii="Arial" w:hAnsi="Arial" w:cs="Arial"/>
          <w:sz w:val="22"/>
          <w:szCs w:val="22"/>
        </w:rPr>
        <w:t xml:space="preserve"> ser feita</w:t>
      </w:r>
      <w:r w:rsidRPr="008C15A2">
        <w:rPr>
          <w:rFonts w:ascii="Arial" w:hAnsi="Arial" w:cs="Arial"/>
          <w:sz w:val="22"/>
          <w:szCs w:val="22"/>
          <w:lang w:val="pt-BR"/>
        </w:rPr>
        <w:t>s</w:t>
      </w:r>
      <w:r w:rsidRPr="008C15A2">
        <w:rPr>
          <w:rFonts w:ascii="Arial" w:hAnsi="Arial" w:cs="Arial"/>
          <w:sz w:val="22"/>
          <w:szCs w:val="22"/>
        </w:rPr>
        <w:t xml:space="preserve"> em estrita observância das regras aqui estabelecidas.</w:t>
      </w:r>
      <w:r w:rsidRPr="008C15A2">
        <w:rPr>
          <w:rFonts w:ascii="Arial" w:hAnsi="Arial" w:cs="Arial"/>
          <w:b/>
          <w:i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</w:rPr>
        <w:t xml:space="preserve">Adicionalmente, quaisquer operações pessoais efetuadas por Colaboradores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e/ou por Pessoas Vinculadas </w:t>
      </w:r>
      <w:r w:rsidRPr="008C15A2">
        <w:rPr>
          <w:rFonts w:ascii="Arial" w:hAnsi="Arial" w:cs="Arial"/>
          <w:sz w:val="22"/>
          <w:szCs w:val="22"/>
        </w:rPr>
        <w:t xml:space="preserve">devem ser totalmente segregadas daquelas efetuadas em nome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>.</w:t>
      </w:r>
    </w:p>
    <w:p w14:paraId="7F97A1D4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7728339B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5.</w:t>
      </w:r>
      <w:r w:rsidRPr="008C15A2">
        <w:rPr>
          <w:rFonts w:ascii="Arial" w:hAnsi="Arial" w:cs="Arial"/>
          <w:sz w:val="22"/>
          <w:szCs w:val="22"/>
        </w:rPr>
        <w:tab/>
        <w:t xml:space="preserve">Os Colaboradores estão impedidos de realizar negócios no mercado de capitais em favor ou no interesse de terceiros, bem como prestar, pessoalmente, consultoria de valores mobiliários ou assessoria de qualquer natureza a quaisquer terceiros sem a prévia e expressa aprovação do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Diretor </w:t>
      </w:r>
      <w:r w:rsidRPr="008C15A2">
        <w:rPr>
          <w:rFonts w:ascii="Arial" w:hAnsi="Arial" w:cs="Arial"/>
          <w:sz w:val="22"/>
          <w:szCs w:val="22"/>
        </w:rPr>
        <w:t xml:space="preserve">de Compliance. </w:t>
      </w:r>
    </w:p>
    <w:p w14:paraId="5C50A93C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1D793A3E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6.</w:t>
      </w:r>
      <w:r w:rsidRPr="008C15A2">
        <w:rPr>
          <w:rFonts w:ascii="Arial" w:hAnsi="Arial" w:cs="Arial"/>
          <w:sz w:val="22"/>
          <w:szCs w:val="22"/>
        </w:rPr>
        <w:tab/>
        <w:t xml:space="preserve">Os Colaboradores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e as Pessoas Vinculadas </w:t>
      </w:r>
      <w:r w:rsidRPr="008C15A2">
        <w:rPr>
          <w:rFonts w:ascii="Arial" w:hAnsi="Arial" w:cs="Arial"/>
          <w:sz w:val="22"/>
          <w:szCs w:val="22"/>
        </w:rPr>
        <w:t xml:space="preserve">poderão comprar quotas de fundos geridos pela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 em condições de mercado conforme oferecidas a demais investidores. </w:t>
      </w:r>
    </w:p>
    <w:p w14:paraId="4EBC0F06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1F99435B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7.</w:t>
      </w:r>
      <w:r w:rsidRPr="008C15A2">
        <w:rPr>
          <w:rFonts w:ascii="Arial" w:hAnsi="Arial" w:cs="Arial"/>
          <w:sz w:val="22"/>
          <w:szCs w:val="22"/>
        </w:rPr>
        <w:tab/>
        <w:t xml:space="preserve">Os Colaboradores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e as Pessoas Vinculadas </w:t>
      </w:r>
      <w:r w:rsidRPr="008C15A2">
        <w:rPr>
          <w:rFonts w:ascii="Arial" w:hAnsi="Arial" w:cs="Arial"/>
          <w:sz w:val="22"/>
          <w:szCs w:val="22"/>
        </w:rPr>
        <w:t xml:space="preserve">deverão observar a legislação e regulamentação aplicável que dispõe sobre a divulgação e o uso de informações sobre ato ou fato relevante na negociação de valores mobiliários de emissão de companhias abertas. </w:t>
      </w:r>
    </w:p>
    <w:p w14:paraId="55B9BC4B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b/>
          <w:sz w:val="22"/>
          <w:szCs w:val="22"/>
        </w:rPr>
      </w:pPr>
    </w:p>
    <w:p w14:paraId="517978F7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8</w:t>
      </w:r>
      <w:r w:rsidRPr="008C15A2">
        <w:rPr>
          <w:rFonts w:ascii="Arial" w:hAnsi="Arial" w:cs="Arial"/>
          <w:sz w:val="22"/>
          <w:szCs w:val="22"/>
        </w:rPr>
        <w:tab/>
        <w:t xml:space="preserve">Os Colaboradores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e as Pessoas Vinculadas </w:t>
      </w:r>
      <w:r w:rsidRPr="008C15A2">
        <w:rPr>
          <w:rFonts w:ascii="Arial" w:hAnsi="Arial" w:cs="Arial"/>
          <w:sz w:val="22"/>
          <w:szCs w:val="22"/>
        </w:rPr>
        <w:t xml:space="preserve">não poderão realizar operações em nome próprio envolvendo títulos, valores mobiliários ou derivativos que tenham sido objeto de ordens de compra ou venda por parte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 ou de qualquer cliente por meio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>, antes que tal ordem tenha sido executada.</w:t>
      </w:r>
    </w:p>
    <w:p w14:paraId="3C226EE7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10055F39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9.</w:t>
      </w:r>
      <w:r w:rsidRPr="008C15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pt-BR"/>
        </w:rPr>
        <w:t>Esta</w:t>
      </w:r>
      <w:r w:rsidRPr="008C15A2">
        <w:rPr>
          <w:rFonts w:ascii="Arial" w:hAnsi="Arial" w:cs="Arial"/>
          <w:sz w:val="22"/>
          <w:szCs w:val="22"/>
        </w:rPr>
        <w:t xml:space="preserve"> política não se aplica a: (i) investimentos pessoais em cotas de Fundos de Investimento de qualquer espécie, geridos pela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 ou por terceiros, desde que geridos discricionariamente pelo gestor ou administrador e destinados ao público em geral (fundos não exclusivos); (ii) posições detidas pelos Colaboradores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e/ou pelas Pessoas Vinculadas </w:t>
      </w:r>
      <w:r w:rsidRPr="008C15A2">
        <w:rPr>
          <w:rFonts w:ascii="Arial" w:hAnsi="Arial" w:cs="Arial"/>
          <w:sz w:val="22"/>
          <w:szCs w:val="22"/>
        </w:rPr>
        <w:t xml:space="preserve">antes da adesão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do Colaborador </w:t>
      </w:r>
      <w:r w:rsidRPr="008C15A2">
        <w:rPr>
          <w:rFonts w:ascii="Arial" w:hAnsi="Arial" w:cs="Arial"/>
          <w:sz w:val="22"/>
          <w:szCs w:val="22"/>
        </w:rPr>
        <w:t xml:space="preserve">a esta </w:t>
      </w:r>
      <w:r>
        <w:rPr>
          <w:rFonts w:ascii="Arial" w:hAnsi="Arial" w:cs="Arial"/>
          <w:sz w:val="22"/>
          <w:szCs w:val="22"/>
          <w:lang w:val="pt-BR"/>
        </w:rPr>
        <w:t>Política</w:t>
      </w:r>
      <w:r w:rsidRPr="008C15A2">
        <w:rPr>
          <w:rFonts w:ascii="Arial" w:hAnsi="Arial" w:cs="Arial"/>
          <w:sz w:val="22"/>
          <w:szCs w:val="22"/>
        </w:rPr>
        <w:t xml:space="preserve">, não sendo, portanto, obrigatória a venda de tais posições; (iii) compra de instrumentos de renda fixa livremente negociados e de boa liquidez, exceto se tais instrumentos forem objeto de ordem de compra ou venda pendente de execução pela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 xml:space="preserve"> ou por qualquer cliente por meio da </w:t>
      </w:r>
      <w:r w:rsidRPr="008C15A2">
        <w:rPr>
          <w:rFonts w:ascii="Arial" w:hAnsi="Arial" w:cs="Arial"/>
          <w:sz w:val="22"/>
          <w:szCs w:val="22"/>
          <w:lang w:val="pt-BR"/>
        </w:rPr>
        <w:t>Sociedade</w:t>
      </w:r>
      <w:r w:rsidRPr="008C15A2">
        <w:rPr>
          <w:rFonts w:ascii="Arial" w:hAnsi="Arial" w:cs="Arial"/>
          <w:sz w:val="22"/>
          <w:szCs w:val="22"/>
        </w:rPr>
        <w:t>; e (iv) títulos adquiridos através do Tesouro Direto.</w:t>
      </w:r>
    </w:p>
    <w:p w14:paraId="3922D63D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0881B569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10.</w:t>
      </w:r>
      <w:r w:rsidRPr="008C15A2">
        <w:rPr>
          <w:rFonts w:ascii="Arial" w:hAnsi="Arial" w:cs="Arial"/>
          <w:sz w:val="22"/>
          <w:szCs w:val="22"/>
        </w:rPr>
        <w:tab/>
        <w:t>Os Colaboradores deverão apresentar semestralmente ao Diretor de Compliance, dentro de até 30 (trinta) dias contados do encerramento de cada semestre civil, uma Declaração de Investimentos Pessoais (na forma do “</w:t>
      </w:r>
      <w:r w:rsidRPr="008C15A2">
        <w:rPr>
          <w:rFonts w:ascii="Arial" w:hAnsi="Arial" w:cs="Arial"/>
          <w:b/>
          <w:sz w:val="22"/>
          <w:szCs w:val="22"/>
          <w:u w:val="single"/>
        </w:rPr>
        <w:t>Anexo II</w:t>
      </w:r>
      <w:r w:rsidRPr="008C15A2">
        <w:rPr>
          <w:rFonts w:ascii="Arial" w:hAnsi="Arial" w:cs="Arial"/>
          <w:sz w:val="22"/>
          <w:szCs w:val="22"/>
        </w:rPr>
        <w:t xml:space="preserve">”), (i) atestando que nada foi praticado durante o período em desacordo com </w:t>
      </w:r>
      <w:r>
        <w:rPr>
          <w:rFonts w:ascii="Arial" w:hAnsi="Arial" w:cs="Arial"/>
          <w:sz w:val="22"/>
          <w:szCs w:val="22"/>
          <w:lang w:val="pt-BR"/>
        </w:rPr>
        <w:t>esta</w:t>
      </w:r>
      <w:r w:rsidRPr="008C15A2">
        <w:rPr>
          <w:rFonts w:ascii="Arial" w:hAnsi="Arial" w:cs="Arial"/>
          <w:sz w:val="22"/>
          <w:szCs w:val="22"/>
        </w:rPr>
        <w:t xml:space="preserve"> Política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de Investimento Pessoal</w:t>
      </w:r>
      <w:r w:rsidRPr="008C15A2">
        <w:rPr>
          <w:rFonts w:ascii="Arial" w:hAnsi="Arial" w:cs="Arial"/>
          <w:sz w:val="22"/>
          <w:szCs w:val="22"/>
        </w:rPr>
        <w:t>; e (ii)</w:t>
      </w:r>
      <w:r w:rsidRPr="008C15A2">
        <w:rPr>
          <w:rFonts w:ascii="Arial" w:hAnsi="Arial" w:cs="Arial"/>
          <w:b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</w:rPr>
        <w:t>apresentando uma descrição completa de sua carteira de investimentos pessoais no mercado financeiro e de capitais no último dia do semestre imediatamente anterior</w:t>
      </w:r>
      <w:r w:rsidRPr="008C15A2">
        <w:rPr>
          <w:rFonts w:ascii="Arial" w:hAnsi="Arial" w:cs="Arial"/>
          <w:sz w:val="22"/>
          <w:szCs w:val="22"/>
          <w:lang w:val="pt-BR"/>
        </w:rPr>
        <w:t>, assim como das Pessoas Vinculadas a ele</w:t>
      </w:r>
      <w:r w:rsidRPr="008C15A2">
        <w:rPr>
          <w:rFonts w:ascii="Arial" w:hAnsi="Arial" w:cs="Arial"/>
          <w:sz w:val="22"/>
          <w:szCs w:val="22"/>
        </w:rPr>
        <w:t xml:space="preserve">, bem como em mais 03 (três) datas a serem selecionadas de forma aleatória pelo Diretor de </w:t>
      </w:r>
      <w:r w:rsidRPr="008C15A2">
        <w:rPr>
          <w:rFonts w:ascii="Arial" w:hAnsi="Arial" w:cs="Arial"/>
          <w:sz w:val="22"/>
          <w:szCs w:val="22"/>
          <w:lang w:val="pt-BR"/>
        </w:rPr>
        <w:t>Compliance</w:t>
      </w:r>
      <w:r w:rsidRPr="008C15A2">
        <w:rPr>
          <w:rFonts w:ascii="Arial" w:hAnsi="Arial" w:cs="Arial"/>
          <w:sz w:val="22"/>
          <w:szCs w:val="22"/>
        </w:rPr>
        <w:t xml:space="preserve"> para cada semestre, conforme comunicadas aos Colaboradores pelo Diretor de</w:t>
      </w:r>
      <w:r w:rsidRPr="008C15A2" w:rsidDel="0042453E">
        <w:rPr>
          <w:rFonts w:ascii="Arial" w:hAnsi="Arial" w:cs="Arial"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</w:rPr>
        <w:t>Compliance, no último dia após o encerramento do semestre.</w:t>
      </w:r>
    </w:p>
    <w:p w14:paraId="7319290D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2748C27F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1</w:t>
      </w:r>
      <w:r w:rsidRPr="008C15A2">
        <w:rPr>
          <w:rFonts w:ascii="Arial" w:hAnsi="Arial" w:cs="Arial"/>
          <w:sz w:val="22"/>
          <w:szCs w:val="22"/>
          <w:lang w:val="pt-BR"/>
        </w:rPr>
        <w:t>1</w:t>
      </w:r>
      <w:r w:rsidRPr="008C15A2">
        <w:rPr>
          <w:rFonts w:ascii="Arial" w:hAnsi="Arial" w:cs="Arial"/>
          <w:sz w:val="22"/>
          <w:szCs w:val="22"/>
        </w:rPr>
        <w:t>.</w:t>
      </w:r>
      <w:r w:rsidRPr="008C15A2">
        <w:rPr>
          <w:rFonts w:ascii="Arial" w:hAnsi="Arial" w:cs="Arial"/>
          <w:sz w:val="22"/>
          <w:szCs w:val="22"/>
        </w:rPr>
        <w:tab/>
        <w:t xml:space="preserve">O Diretor de Compliance poderá, a qualquer tempo e a seu exclusivo critério, solicitar a Colaboradores que apresentem (i) uma descrição completa dos investimentos </w:t>
      </w:r>
      <w:r w:rsidRPr="008C15A2">
        <w:rPr>
          <w:rFonts w:ascii="Arial" w:hAnsi="Arial" w:cs="Arial"/>
          <w:sz w:val="22"/>
          <w:szCs w:val="22"/>
          <w:lang w:val="pt-BR"/>
        </w:rPr>
        <w:t>das Pessoas Vinculadas,</w:t>
      </w:r>
      <w:r w:rsidRPr="008C15A2">
        <w:rPr>
          <w:rFonts w:ascii="Arial" w:hAnsi="Arial" w:cs="Arial"/>
          <w:sz w:val="22"/>
          <w:szCs w:val="22"/>
        </w:rPr>
        <w:t xml:space="preserve"> na forma desta Política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</w:t>
      </w:r>
      <w:r w:rsidRPr="008C15A2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Negociação</w:t>
      </w:r>
      <w:r w:rsidRPr="008C15A2">
        <w:rPr>
          <w:rFonts w:ascii="Arial" w:hAnsi="Arial" w:cs="Arial"/>
          <w:sz w:val="22"/>
          <w:szCs w:val="22"/>
        </w:rPr>
        <w:t xml:space="preserve"> de Valores Mobiliários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 por Colaboradores</w:t>
      </w:r>
      <w:r w:rsidRPr="008C15A2">
        <w:rPr>
          <w:rFonts w:ascii="Arial" w:hAnsi="Arial" w:cs="Arial"/>
          <w:sz w:val="22"/>
          <w:szCs w:val="22"/>
        </w:rPr>
        <w:t xml:space="preserve">; e/ou (ii) cópias de extratos de suas contas pessoais mantidas junto a corretoras de valores mobiliários e outras instituições financeiras com quem o Colaborador </w:t>
      </w:r>
      <w:r w:rsidRPr="008C15A2">
        <w:rPr>
          <w:rFonts w:ascii="Arial" w:hAnsi="Arial" w:cs="Arial"/>
          <w:sz w:val="22"/>
          <w:szCs w:val="22"/>
          <w:lang w:val="pt-BR"/>
        </w:rPr>
        <w:t>e/ou as Pessoas Vinculadas</w:t>
      </w:r>
      <w:r w:rsidRPr="008C15A2">
        <w:rPr>
          <w:rFonts w:ascii="Arial" w:hAnsi="Arial" w:cs="Arial"/>
          <w:sz w:val="22"/>
          <w:szCs w:val="22"/>
        </w:rPr>
        <w:t xml:space="preserve"> tenha</w:t>
      </w:r>
      <w:r w:rsidRPr="008C15A2">
        <w:rPr>
          <w:rFonts w:ascii="Arial" w:hAnsi="Arial" w:cs="Arial"/>
          <w:sz w:val="22"/>
          <w:szCs w:val="22"/>
          <w:lang w:val="pt-BR"/>
        </w:rPr>
        <w:t>m</w:t>
      </w:r>
      <w:r w:rsidRPr="008C15A2">
        <w:rPr>
          <w:rFonts w:ascii="Arial" w:hAnsi="Arial" w:cs="Arial"/>
          <w:sz w:val="22"/>
          <w:szCs w:val="22"/>
        </w:rPr>
        <w:t xml:space="preserve"> conta, dentro de até 15 (quinze) dias da data da solicitação. </w:t>
      </w:r>
    </w:p>
    <w:p w14:paraId="2D5A55D5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</w:p>
    <w:p w14:paraId="7D9BA218" w14:textId="77777777" w:rsidR="00B76F3A" w:rsidRPr="008C15A2" w:rsidRDefault="00B76F3A" w:rsidP="00B76F3A">
      <w:pPr>
        <w:pStyle w:val="Corpodetexto"/>
        <w:tabs>
          <w:tab w:val="left" w:pos="0"/>
        </w:tabs>
        <w:spacing w:line="360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 w:rsidRPr="008C15A2">
        <w:rPr>
          <w:rFonts w:ascii="Arial" w:hAnsi="Arial" w:cs="Arial"/>
          <w:sz w:val="22"/>
          <w:szCs w:val="22"/>
        </w:rPr>
        <w:t>1</w:t>
      </w:r>
      <w:r w:rsidRPr="008C15A2">
        <w:rPr>
          <w:rFonts w:ascii="Arial" w:hAnsi="Arial" w:cs="Arial"/>
          <w:sz w:val="22"/>
          <w:szCs w:val="22"/>
          <w:lang w:val="pt-BR"/>
        </w:rPr>
        <w:t>2</w:t>
      </w:r>
      <w:r w:rsidRPr="008C15A2">
        <w:rPr>
          <w:rFonts w:ascii="Arial" w:hAnsi="Arial" w:cs="Arial"/>
          <w:sz w:val="22"/>
          <w:szCs w:val="22"/>
        </w:rPr>
        <w:t>.</w:t>
      </w:r>
      <w:r w:rsidRPr="008C15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pt-BR"/>
        </w:rPr>
        <w:t>A</w:t>
      </w:r>
      <w:r w:rsidRPr="008C15A2">
        <w:rPr>
          <w:rFonts w:ascii="Arial" w:hAnsi="Arial" w:cs="Arial"/>
          <w:sz w:val="22"/>
          <w:szCs w:val="22"/>
          <w:lang w:val="pt-BR"/>
        </w:rPr>
        <w:t>o firmar o Anexo I, os colaboradores</w:t>
      </w:r>
      <w:r w:rsidRPr="008C15A2">
        <w:rPr>
          <w:rFonts w:ascii="Arial" w:hAnsi="Arial" w:cs="Arial"/>
          <w:sz w:val="22"/>
          <w:szCs w:val="22"/>
        </w:rPr>
        <w:t xml:space="preserve"> toma</w:t>
      </w:r>
      <w:r w:rsidRPr="008C15A2">
        <w:rPr>
          <w:rFonts w:ascii="Arial" w:hAnsi="Arial" w:cs="Arial"/>
          <w:sz w:val="22"/>
          <w:szCs w:val="22"/>
          <w:lang w:val="pt-BR"/>
        </w:rPr>
        <w:t>m</w:t>
      </w:r>
      <w:r w:rsidRPr="008C15A2">
        <w:rPr>
          <w:rFonts w:ascii="Arial" w:hAnsi="Arial" w:cs="Arial"/>
          <w:sz w:val="22"/>
          <w:szCs w:val="22"/>
        </w:rPr>
        <w:t xml:space="preserve"> conhecimento da existência desta Política de </w:t>
      </w:r>
      <w:r>
        <w:rPr>
          <w:rFonts w:ascii="Arial" w:hAnsi="Arial" w:cs="Arial"/>
          <w:sz w:val="22"/>
          <w:szCs w:val="22"/>
        </w:rPr>
        <w:t>Negociação</w:t>
      </w:r>
      <w:r w:rsidRPr="008C15A2">
        <w:rPr>
          <w:rFonts w:ascii="Arial" w:hAnsi="Arial" w:cs="Arial"/>
          <w:sz w:val="22"/>
          <w:szCs w:val="22"/>
        </w:rPr>
        <w:t xml:space="preserve"> de Valores Mobiliários</w:t>
      </w:r>
      <w:r w:rsidRPr="008C15A2" w:rsidDel="00243238">
        <w:rPr>
          <w:rFonts w:ascii="Arial" w:hAnsi="Arial" w:cs="Arial"/>
          <w:sz w:val="22"/>
          <w:szCs w:val="22"/>
        </w:rPr>
        <w:t xml:space="preserve"> </w:t>
      </w:r>
      <w:r w:rsidRPr="008C15A2">
        <w:rPr>
          <w:rFonts w:ascii="Arial" w:hAnsi="Arial" w:cs="Arial"/>
          <w:sz w:val="22"/>
          <w:szCs w:val="22"/>
          <w:lang w:val="pt-BR"/>
        </w:rPr>
        <w:t>por Colaboradores</w:t>
      </w:r>
      <w:r w:rsidRPr="008C15A2">
        <w:rPr>
          <w:rFonts w:ascii="Arial" w:hAnsi="Arial" w:cs="Arial"/>
          <w:sz w:val="22"/>
          <w:szCs w:val="22"/>
        </w:rPr>
        <w:t xml:space="preserve"> e </w:t>
      </w:r>
      <w:r w:rsidRPr="008C15A2">
        <w:rPr>
          <w:rFonts w:ascii="Arial" w:hAnsi="Arial" w:cs="Arial"/>
          <w:sz w:val="22"/>
          <w:szCs w:val="22"/>
          <w:lang w:val="pt-BR"/>
        </w:rPr>
        <w:t xml:space="preserve">se </w:t>
      </w:r>
      <w:r w:rsidRPr="008C15A2">
        <w:rPr>
          <w:rFonts w:ascii="Arial" w:hAnsi="Arial" w:cs="Arial"/>
          <w:sz w:val="22"/>
          <w:szCs w:val="22"/>
        </w:rPr>
        <w:t>compromete</w:t>
      </w:r>
      <w:r w:rsidRPr="008C15A2">
        <w:rPr>
          <w:rFonts w:ascii="Arial" w:hAnsi="Arial" w:cs="Arial"/>
          <w:sz w:val="22"/>
          <w:szCs w:val="22"/>
          <w:lang w:val="pt-BR"/>
        </w:rPr>
        <w:t>m</w:t>
      </w:r>
      <w:r w:rsidRPr="008C15A2">
        <w:rPr>
          <w:rFonts w:ascii="Arial" w:hAnsi="Arial" w:cs="Arial"/>
          <w:sz w:val="22"/>
          <w:szCs w:val="22"/>
        </w:rPr>
        <w:t xml:space="preserve"> a acatar as regras e princípios contidos aqui.</w:t>
      </w:r>
    </w:p>
    <w:p w14:paraId="56A66B21" w14:textId="77777777" w:rsidR="00B76F3A" w:rsidRPr="008C15A2" w:rsidRDefault="00B76F3A" w:rsidP="00B76F3A">
      <w:pPr>
        <w:spacing w:line="360" w:lineRule="auto"/>
        <w:ind w:left="11" w:hanging="11"/>
        <w:jc w:val="both"/>
        <w:rPr>
          <w:rFonts w:ascii="Arial" w:hAnsi="Arial" w:cs="Arial"/>
        </w:rPr>
      </w:pPr>
    </w:p>
    <w:p w14:paraId="4968A6EE" w14:textId="77777777" w:rsidR="00B76F3A" w:rsidRPr="00EF0373" w:rsidRDefault="00B76F3A" w:rsidP="00B76F3A">
      <w:pPr>
        <w:jc w:val="both"/>
      </w:pPr>
    </w:p>
    <w:p w14:paraId="557AADC6" w14:textId="48A7D546" w:rsidR="00D779FE" w:rsidRPr="002B48D1" w:rsidRDefault="00D779FE" w:rsidP="00B76F3A">
      <w:pPr>
        <w:jc w:val="both"/>
      </w:pPr>
    </w:p>
    <w:sectPr w:rsidR="00D779FE" w:rsidRPr="002B48D1" w:rsidSect="00435B57">
      <w:head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6845" w14:textId="77777777" w:rsidR="006D5C11" w:rsidRDefault="006D5C11" w:rsidP="00435B57">
      <w:r>
        <w:separator/>
      </w:r>
    </w:p>
  </w:endnote>
  <w:endnote w:type="continuationSeparator" w:id="0">
    <w:p w14:paraId="79078AA9" w14:textId="77777777" w:rsidR="006D5C11" w:rsidRDefault="006D5C11" w:rsidP="0043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5994" w14:textId="77777777" w:rsidR="006D5C11" w:rsidRDefault="006D5C11" w:rsidP="00435B57">
      <w:r>
        <w:separator/>
      </w:r>
    </w:p>
  </w:footnote>
  <w:footnote w:type="continuationSeparator" w:id="0">
    <w:p w14:paraId="29DFC8CB" w14:textId="77777777" w:rsidR="006D5C11" w:rsidRDefault="006D5C11" w:rsidP="0043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1821" w14:textId="77777777" w:rsidR="00435B57" w:rsidRDefault="00435B57" w:rsidP="00435B57">
    <w:pPr>
      <w:pStyle w:val="Cabealho"/>
      <w:jc w:val="right"/>
    </w:pPr>
    <w:r>
      <w:rPr>
        <w:noProof/>
        <w:sz w:val="20"/>
      </w:rPr>
      <w:drawing>
        <wp:inline distT="0" distB="0" distL="0" distR="0" wp14:anchorId="60A59B67" wp14:editId="4C47B268">
          <wp:extent cx="1924050" cy="60960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DA612" w14:textId="77777777" w:rsidR="00435B57" w:rsidRDefault="00435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A39"/>
    <w:multiLevelType w:val="hybridMultilevel"/>
    <w:tmpl w:val="E1D43D48"/>
    <w:lvl w:ilvl="0" w:tplc="4DDA0FFA">
      <w:numFmt w:val="none"/>
      <w:lvlText w:val=""/>
      <w:lvlJc w:val="left"/>
      <w:pPr>
        <w:tabs>
          <w:tab w:val="num" w:pos="360"/>
        </w:tabs>
      </w:pPr>
    </w:lvl>
    <w:lvl w:ilvl="1" w:tplc="609C9ABC">
      <w:numFmt w:val="bullet"/>
      <w:lvlText w:val="•"/>
      <w:lvlJc w:val="left"/>
      <w:pPr>
        <w:ind w:left="320" w:hanging="435"/>
      </w:pPr>
      <w:rPr>
        <w:rFonts w:hint="default"/>
        <w:lang w:val="pt-PT" w:eastAsia="pt-PT" w:bidi="pt-PT"/>
      </w:rPr>
    </w:lvl>
    <w:lvl w:ilvl="2" w:tplc="B9184DF0">
      <w:numFmt w:val="bullet"/>
      <w:lvlText w:val="•"/>
      <w:lvlJc w:val="left"/>
      <w:pPr>
        <w:ind w:left="1256" w:hanging="435"/>
      </w:pPr>
      <w:rPr>
        <w:rFonts w:hint="default"/>
        <w:lang w:val="pt-PT" w:eastAsia="pt-PT" w:bidi="pt-PT"/>
      </w:rPr>
    </w:lvl>
    <w:lvl w:ilvl="3" w:tplc="7A0CBAF4">
      <w:numFmt w:val="bullet"/>
      <w:lvlText w:val="•"/>
      <w:lvlJc w:val="left"/>
      <w:pPr>
        <w:ind w:left="2192" w:hanging="435"/>
      </w:pPr>
      <w:rPr>
        <w:rFonts w:hint="default"/>
        <w:lang w:val="pt-PT" w:eastAsia="pt-PT" w:bidi="pt-PT"/>
      </w:rPr>
    </w:lvl>
    <w:lvl w:ilvl="4" w:tplc="B1D6ED24">
      <w:numFmt w:val="bullet"/>
      <w:lvlText w:val="•"/>
      <w:lvlJc w:val="left"/>
      <w:pPr>
        <w:ind w:left="3128" w:hanging="435"/>
      </w:pPr>
      <w:rPr>
        <w:rFonts w:hint="default"/>
        <w:lang w:val="pt-PT" w:eastAsia="pt-PT" w:bidi="pt-PT"/>
      </w:rPr>
    </w:lvl>
    <w:lvl w:ilvl="5" w:tplc="1DBC1E5C">
      <w:numFmt w:val="bullet"/>
      <w:lvlText w:val="•"/>
      <w:lvlJc w:val="left"/>
      <w:pPr>
        <w:ind w:left="4065" w:hanging="435"/>
      </w:pPr>
      <w:rPr>
        <w:rFonts w:hint="default"/>
        <w:lang w:val="pt-PT" w:eastAsia="pt-PT" w:bidi="pt-PT"/>
      </w:rPr>
    </w:lvl>
    <w:lvl w:ilvl="6" w:tplc="FC12F624">
      <w:numFmt w:val="bullet"/>
      <w:lvlText w:val="•"/>
      <w:lvlJc w:val="left"/>
      <w:pPr>
        <w:ind w:left="5001" w:hanging="435"/>
      </w:pPr>
      <w:rPr>
        <w:rFonts w:hint="default"/>
        <w:lang w:val="pt-PT" w:eastAsia="pt-PT" w:bidi="pt-PT"/>
      </w:rPr>
    </w:lvl>
    <w:lvl w:ilvl="7" w:tplc="60E83502">
      <w:numFmt w:val="bullet"/>
      <w:lvlText w:val="•"/>
      <w:lvlJc w:val="left"/>
      <w:pPr>
        <w:ind w:left="5937" w:hanging="435"/>
      </w:pPr>
      <w:rPr>
        <w:rFonts w:hint="default"/>
        <w:lang w:val="pt-PT" w:eastAsia="pt-PT" w:bidi="pt-PT"/>
      </w:rPr>
    </w:lvl>
    <w:lvl w:ilvl="8" w:tplc="1334FD96">
      <w:numFmt w:val="bullet"/>
      <w:lvlText w:val="•"/>
      <w:lvlJc w:val="left"/>
      <w:pPr>
        <w:ind w:left="6873" w:hanging="435"/>
      </w:pPr>
      <w:rPr>
        <w:rFonts w:hint="default"/>
        <w:lang w:val="pt-PT" w:eastAsia="pt-PT" w:bidi="pt-PT"/>
      </w:rPr>
    </w:lvl>
  </w:abstractNum>
  <w:abstractNum w:abstractNumId="1" w15:restartNumberingAfterBreak="0">
    <w:nsid w:val="24DF381F"/>
    <w:multiLevelType w:val="hybridMultilevel"/>
    <w:tmpl w:val="75D01BB4"/>
    <w:lvl w:ilvl="0" w:tplc="892E2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98E"/>
    <w:multiLevelType w:val="hybridMultilevel"/>
    <w:tmpl w:val="1388B0A0"/>
    <w:lvl w:ilvl="0" w:tplc="7D64EE4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3E7C6729"/>
    <w:multiLevelType w:val="hybridMultilevel"/>
    <w:tmpl w:val="CC66037A"/>
    <w:lvl w:ilvl="0" w:tplc="F648E026">
      <w:start w:val="10"/>
      <w:numFmt w:val="lowerLetter"/>
      <w:lvlText w:val="%1."/>
      <w:lvlJc w:val="left"/>
      <w:pPr>
        <w:ind w:left="4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41D6790A"/>
    <w:multiLevelType w:val="multilevel"/>
    <w:tmpl w:val="176037A8"/>
    <w:lvl w:ilvl="0">
      <w:start w:val="1"/>
      <w:numFmt w:val="lowerRoman"/>
      <w:lvlText w:val="%1."/>
      <w:lvlJc w:val="left"/>
      <w:pPr>
        <w:ind w:left="309" w:hanging="18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2" w:hanging="3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" w:hanging="68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176" w:hanging="6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15" w:hanging="6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53" w:hanging="6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92" w:hanging="6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930" w:hanging="6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69" w:hanging="689"/>
      </w:pPr>
      <w:rPr>
        <w:rFonts w:hint="default"/>
        <w:lang w:val="pt-PT" w:eastAsia="pt-PT" w:bidi="pt-PT"/>
      </w:rPr>
    </w:lvl>
  </w:abstractNum>
  <w:abstractNum w:abstractNumId="5" w15:restartNumberingAfterBreak="0">
    <w:nsid w:val="5D1E22A3"/>
    <w:multiLevelType w:val="hybridMultilevel"/>
    <w:tmpl w:val="EC260E72"/>
    <w:lvl w:ilvl="0" w:tplc="8392ED52">
      <w:start w:val="3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EB944964">
      <w:numFmt w:val="bullet"/>
      <w:lvlText w:val="•"/>
      <w:lvlJc w:val="left"/>
      <w:pPr>
        <w:ind w:left="1198" w:hanging="240"/>
      </w:pPr>
      <w:rPr>
        <w:rFonts w:hint="default"/>
        <w:lang w:val="pt-PT" w:eastAsia="pt-PT" w:bidi="pt-PT"/>
      </w:rPr>
    </w:lvl>
    <w:lvl w:ilvl="2" w:tplc="FCA88050">
      <w:numFmt w:val="bullet"/>
      <w:lvlText w:val="•"/>
      <w:lvlJc w:val="left"/>
      <w:pPr>
        <w:ind w:left="2037" w:hanging="240"/>
      </w:pPr>
      <w:rPr>
        <w:rFonts w:hint="default"/>
        <w:lang w:val="pt-PT" w:eastAsia="pt-PT" w:bidi="pt-PT"/>
      </w:rPr>
    </w:lvl>
    <w:lvl w:ilvl="3" w:tplc="DD8A95D6">
      <w:numFmt w:val="bullet"/>
      <w:lvlText w:val="•"/>
      <w:lvlJc w:val="left"/>
      <w:pPr>
        <w:ind w:left="2875" w:hanging="240"/>
      </w:pPr>
      <w:rPr>
        <w:rFonts w:hint="default"/>
        <w:lang w:val="pt-PT" w:eastAsia="pt-PT" w:bidi="pt-PT"/>
      </w:rPr>
    </w:lvl>
    <w:lvl w:ilvl="4" w:tplc="D8EEC154">
      <w:numFmt w:val="bullet"/>
      <w:lvlText w:val="•"/>
      <w:lvlJc w:val="left"/>
      <w:pPr>
        <w:ind w:left="3714" w:hanging="240"/>
      </w:pPr>
      <w:rPr>
        <w:rFonts w:hint="default"/>
        <w:lang w:val="pt-PT" w:eastAsia="pt-PT" w:bidi="pt-PT"/>
      </w:rPr>
    </w:lvl>
    <w:lvl w:ilvl="5" w:tplc="2EC22B86">
      <w:numFmt w:val="bullet"/>
      <w:lvlText w:val="•"/>
      <w:lvlJc w:val="left"/>
      <w:pPr>
        <w:ind w:left="4553" w:hanging="240"/>
      </w:pPr>
      <w:rPr>
        <w:rFonts w:hint="default"/>
        <w:lang w:val="pt-PT" w:eastAsia="pt-PT" w:bidi="pt-PT"/>
      </w:rPr>
    </w:lvl>
    <w:lvl w:ilvl="6" w:tplc="1374B10E">
      <w:numFmt w:val="bullet"/>
      <w:lvlText w:val="•"/>
      <w:lvlJc w:val="left"/>
      <w:pPr>
        <w:ind w:left="5391" w:hanging="240"/>
      </w:pPr>
      <w:rPr>
        <w:rFonts w:hint="default"/>
        <w:lang w:val="pt-PT" w:eastAsia="pt-PT" w:bidi="pt-PT"/>
      </w:rPr>
    </w:lvl>
    <w:lvl w:ilvl="7" w:tplc="D8446076">
      <w:numFmt w:val="bullet"/>
      <w:lvlText w:val="•"/>
      <w:lvlJc w:val="left"/>
      <w:pPr>
        <w:ind w:left="6230" w:hanging="240"/>
      </w:pPr>
      <w:rPr>
        <w:rFonts w:hint="default"/>
        <w:lang w:val="pt-PT" w:eastAsia="pt-PT" w:bidi="pt-PT"/>
      </w:rPr>
    </w:lvl>
    <w:lvl w:ilvl="8" w:tplc="28189B1E">
      <w:numFmt w:val="bullet"/>
      <w:lvlText w:val="•"/>
      <w:lvlJc w:val="left"/>
      <w:pPr>
        <w:ind w:left="7069" w:hanging="240"/>
      </w:pPr>
      <w:rPr>
        <w:rFonts w:hint="default"/>
        <w:lang w:val="pt-PT" w:eastAsia="pt-PT" w:bidi="pt-PT"/>
      </w:rPr>
    </w:lvl>
  </w:abstractNum>
  <w:abstractNum w:abstractNumId="6" w15:restartNumberingAfterBreak="0">
    <w:nsid w:val="615414EB"/>
    <w:multiLevelType w:val="multilevel"/>
    <w:tmpl w:val="DBFA9A58"/>
    <w:lvl w:ilvl="0">
      <w:start w:val="1"/>
      <w:numFmt w:val="lowerLetter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2" w:hanging="425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40" w:hanging="42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565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91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17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43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94" w:hanging="425"/>
      </w:pPr>
      <w:rPr>
        <w:rFonts w:hint="default"/>
        <w:lang w:val="pt-PT" w:eastAsia="pt-PT" w:bidi="pt-PT"/>
      </w:rPr>
    </w:lvl>
  </w:abstractNum>
  <w:abstractNum w:abstractNumId="7" w15:restartNumberingAfterBreak="0">
    <w:nsid w:val="64E90AE8"/>
    <w:multiLevelType w:val="hybridMultilevel"/>
    <w:tmpl w:val="1CECF43C"/>
    <w:lvl w:ilvl="0" w:tplc="5D4A5814">
      <w:start w:val="1"/>
      <w:numFmt w:val="decimal"/>
      <w:lvlText w:val="%1."/>
      <w:lvlJc w:val="left"/>
      <w:pPr>
        <w:ind w:left="122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1" w:tplc="5BFAED50">
      <w:numFmt w:val="bullet"/>
      <w:lvlText w:val="•"/>
      <w:lvlJc w:val="left"/>
      <w:pPr>
        <w:ind w:left="982" w:hanging="720"/>
      </w:pPr>
      <w:rPr>
        <w:rFonts w:hint="default"/>
        <w:lang w:val="pt-PT" w:eastAsia="pt-PT" w:bidi="pt-PT"/>
      </w:rPr>
    </w:lvl>
    <w:lvl w:ilvl="2" w:tplc="D93691C2">
      <w:numFmt w:val="bullet"/>
      <w:lvlText w:val="•"/>
      <w:lvlJc w:val="left"/>
      <w:pPr>
        <w:ind w:left="1845" w:hanging="720"/>
      </w:pPr>
      <w:rPr>
        <w:rFonts w:hint="default"/>
        <w:lang w:val="pt-PT" w:eastAsia="pt-PT" w:bidi="pt-PT"/>
      </w:rPr>
    </w:lvl>
    <w:lvl w:ilvl="3" w:tplc="5EB6FC7A">
      <w:numFmt w:val="bullet"/>
      <w:lvlText w:val="•"/>
      <w:lvlJc w:val="left"/>
      <w:pPr>
        <w:ind w:left="2707" w:hanging="720"/>
      </w:pPr>
      <w:rPr>
        <w:rFonts w:hint="default"/>
        <w:lang w:val="pt-PT" w:eastAsia="pt-PT" w:bidi="pt-PT"/>
      </w:rPr>
    </w:lvl>
    <w:lvl w:ilvl="4" w:tplc="995E5BDC">
      <w:numFmt w:val="bullet"/>
      <w:lvlText w:val="•"/>
      <w:lvlJc w:val="left"/>
      <w:pPr>
        <w:ind w:left="3570" w:hanging="720"/>
      </w:pPr>
      <w:rPr>
        <w:rFonts w:hint="default"/>
        <w:lang w:val="pt-PT" w:eastAsia="pt-PT" w:bidi="pt-PT"/>
      </w:rPr>
    </w:lvl>
    <w:lvl w:ilvl="5" w:tplc="8F0088DA">
      <w:numFmt w:val="bullet"/>
      <w:lvlText w:val="•"/>
      <w:lvlJc w:val="left"/>
      <w:pPr>
        <w:ind w:left="4433" w:hanging="720"/>
      </w:pPr>
      <w:rPr>
        <w:rFonts w:hint="default"/>
        <w:lang w:val="pt-PT" w:eastAsia="pt-PT" w:bidi="pt-PT"/>
      </w:rPr>
    </w:lvl>
    <w:lvl w:ilvl="6" w:tplc="B9AEE0F8">
      <w:numFmt w:val="bullet"/>
      <w:lvlText w:val="•"/>
      <w:lvlJc w:val="left"/>
      <w:pPr>
        <w:ind w:left="5295" w:hanging="720"/>
      </w:pPr>
      <w:rPr>
        <w:rFonts w:hint="default"/>
        <w:lang w:val="pt-PT" w:eastAsia="pt-PT" w:bidi="pt-PT"/>
      </w:rPr>
    </w:lvl>
    <w:lvl w:ilvl="7" w:tplc="39167282">
      <w:numFmt w:val="bullet"/>
      <w:lvlText w:val="•"/>
      <w:lvlJc w:val="left"/>
      <w:pPr>
        <w:ind w:left="6158" w:hanging="720"/>
      </w:pPr>
      <w:rPr>
        <w:rFonts w:hint="default"/>
        <w:lang w:val="pt-PT" w:eastAsia="pt-PT" w:bidi="pt-PT"/>
      </w:rPr>
    </w:lvl>
    <w:lvl w:ilvl="8" w:tplc="4956E21C">
      <w:numFmt w:val="bullet"/>
      <w:lvlText w:val="•"/>
      <w:lvlJc w:val="left"/>
      <w:pPr>
        <w:ind w:left="7021" w:hanging="720"/>
      </w:pPr>
      <w:rPr>
        <w:rFonts w:hint="default"/>
        <w:lang w:val="pt-PT" w:eastAsia="pt-PT" w:bidi="pt-PT"/>
      </w:rPr>
    </w:lvl>
  </w:abstractNum>
  <w:abstractNum w:abstractNumId="8" w15:restartNumberingAfterBreak="0">
    <w:nsid w:val="7A637F02"/>
    <w:multiLevelType w:val="hybridMultilevel"/>
    <w:tmpl w:val="E5BA9A16"/>
    <w:lvl w:ilvl="0" w:tplc="80FA6CB6">
      <w:start w:val="10"/>
      <w:numFmt w:val="lowerLetter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64"/>
    <w:rsid w:val="00053BA9"/>
    <w:rsid w:val="001540CE"/>
    <w:rsid w:val="001D08D4"/>
    <w:rsid w:val="00243965"/>
    <w:rsid w:val="002B48D1"/>
    <w:rsid w:val="00301AB5"/>
    <w:rsid w:val="0035211D"/>
    <w:rsid w:val="003675F4"/>
    <w:rsid w:val="00377464"/>
    <w:rsid w:val="00394007"/>
    <w:rsid w:val="003972CE"/>
    <w:rsid w:val="003D0466"/>
    <w:rsid w:val="003D4D0E"/>
    <w:rsid w:val="00417B2C"/>
    <w:rsid w:val="00435B57"/>
    <w:rsid w:val="00474F42"/>
    <w:rsid w:val="00486198"/>
    <w:rsid w:val="004D0B98"/>
    <w:rsid w:val="004E2E3C"/>
    <w:rsid w:val="004E34ED"/>
    <w:rsid w:val="004F1DE8"/>
    <w:rsid w:val="005041DD"/>
    <w:rsid w:val="00514C43"/>
    <w:rsid w:val="00523A30"/>
    <w:rsid w:val="00541260"/>
    <w:rsid w:val="005D7B9F"/>
    <w:rsid w:val="0062781C"/>
    <w:rsid w:val="00684316"/>
    <w:rsid w:val="00696B42"/>
    <w:rsid w:val="006B597F"/>
    <w:rsid w:val="006B7DFD"/>
    <w:rsid w:val="006D5C11"/>
    <w:rsid w:val="006D67C3"/>
    <w:rsid w:val="007A5EFC"/>
    <w:rsid w:val="007E3497"/>
    <w:rsid w:val="0080236E"/>
    <w:rsid w:val="0080570A"/>
    <w:rsid w:val="008305D6"/>
    <w:rsid w:val="00902A6A"/>
    <w:rsid w:val="00922910"/>
    <w:rsid w:val="00984012"/>
    <w:rsid w:val="0098654D"/>
    <w:rsid w:val="00A45266"/>
    <w:rsid w:val="00AD6C3D"/>
    <w:rsid w:val="00B75783"/>
    <w:rsid w:val="00B76F3A"/>
    <w:rsid w:val="00B9784F"/>
    <w:rsid w:val="00BB583F"/>
    <w:rsid w:val="00BC1C1F"/>
    <w:rsid w:val="00BC585E"/>
    <w:rsid w:val="00C16AE7"/>
    <w:rsid w:val="00D25FEC"/>
    <w:rsid w:val="00D317CA"/>
    <w:rsid w:val="00D779FE"/>
    <w:rsid w:val="00DB0BC0"/>
    <w:rsid w:val="00DB7EED"/>
    <w:rsid w:val="00EC7506"/>
    <w:rsid w:val="00F7318B"/>
    <w:rsid w:val="00F83B4C"/>
    <w:rsid w:val="00F86386"/>
    <w:rsid w:val="00FA1551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2E89"/>
  <w15:docId w15:val="{320CCCEB-F632-46DE-A846-D5B0C3B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376" w:hanging="25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35B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57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35B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57"/>
    <w:rPr>
      <w:rFonts w:ascii="Times New Roman" w:eastAsia="Times New Roman" w:hAnsi="Times New Roman" w:cs="Times New Roman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39400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58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F2F4-C01B-4A45-8962-F5364BA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Klermann Caldas Neto</cp:lastModifiedBy>
  <cp:revision>2</cp:revision>
  <dcterms:created xsi:type="dcterms:W3CDTF">2022-03-09T19:14:00Z</dcterms:created>
  <dcterms:modified xsi:type="dcterms:W3CDTF">2022-03-09T19:14:00Z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2020-03-04T00:00:00Z</vt:filetime>
  </property>
</Properties>
</file>